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42A62" w14:textId="06209B3F" w:rsidR="005B67EC" w:rsidRPr="00FD0D21" w:rsidRDefault="00FD0D21" w:rsidP="00FD0D21">
      <w:pPr>
        <w:spacing w:after="0" w:line="240" w:lineRule="auto"/>
        <w:jc w:val="center"/>
        <w:rPr>
          <w:rFonts w:ascii="Times New Roman" w:hAnsi="Times New Roman" w:cs="Times New Roman"/>
        </w:rPr>
      </w:pPr>
      <w:r w:rsidRPr="00FD0D21">
        <w:rPr>
          <w:rFonts w:ascii="Times New Roman" w:hAnsi="Times New Roman" w:cs="Times New Roman"/>
          <w:noProof/>
          <w:lang w:val="sr-Latn-RS" w:eastAsia="sr-Latn-RS"/>
        </w:rPr>
        <w:drawing>
          <wp:inline distT="0" distB="0" distL="0" distR="0" wp14:anchorId="2BF0673A" wp14:editId="67A47113">
            <wp:extent cx="2340000" cy="906163"/>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000" cy="906163"/>
                    </a:xfrm>
                    <a:prstGeom prst="rect">
                      <a:avLst/>
                    </a:prstGeom>
                  </pic:spPr>
                </pic:pic>
              </a:graphicData>
            </a:graphic>
          </wp:inline>
        </w:drawing>
      </w:r>
    </w:p>
    <w:p w14:paraId="4E049432" w14:textId="5E649EFF" w:rsidR="00FD0D21" w:rsidRPr="00FD0D21" w:rsidRDefault="00FD0D21" w:rsidP="00FD0D21">
      <w:pPr>
        <w:spacing w:after="0" w:line="240" w:lineRule="auto"/>
        <w:jc w:val="center"/>
        <w:rPr>
          <w:rFonts w:ascii="Times New Roman" w:hAnsi="Times New Roman" w:cs="Times New Roman"/>
        </w:rPr>
      </w:pPr>
    </w:p>
    <w:p w14:paraId="55347700" w14:textId="35D70C94" w:rsidR="00FD0D21" w:rsidRPr="00FD0D21" w:rsidRDefault="00FD0D21" w:rsidP="00FD0D21">
      <w:pPr>
        <w:spacing w:before="3120" w:after="600" w:line="240" w:lineRule="auto"/>
        <w:jc w:val="center"/>
        <w:rPr>
          <w:rFonts w:ascii="Times New Roman" w:hAnsi="Times New Roman" w:cs="Times New Roman"/>
          <w:b/>
          <w:bCs/>
          <w:sz w:val="56"/>
          <w:szCs w:val="56"/>
          <w:lang w:val="sr-Cyrl-RS"/>
        </w:rPr>
      </w:pPr>
      <w:r w:rsidRPr="00FD0D21">
        <w:rPr>
          <w:rFonts w:ascii="Times New Roman" w:hAnsi="Times New Roman" w:cs="Times New Roman"/>
          <w:b/>
          <w:bCs/>
          <w:sz w:val="56"/>
          <w:szCs w:val="56"/>
          <w:lang w:val="sr-Cyrl-RS"/>
        </w:rPr>
        <w:t>Л</w:t>
      </w:r>
      <w:bookmarkStart w:id="0" w:name="_GoBack"/>
      <w:bookmarkEnd w:id="0"/>
      <w:r w:rsidRPr="00FD0D21">
        <w:rPr>
          <w:rFonts w:ascii="Times New Roman" w:hAnsi="Times New Roman" w:cs="Times New Roman"/>
          <w:b/>
          <w:bCs/>
          <w:sz w:val="56"/>
          <w:szCs w:val="56"/>
          <w:lang w:val="sr-Cyrl-RS"/>
        </w:rPr>
        <w:t>ОКАЛНА СТРАТЕГИЈА</w:t>
      </w:r>
      <w:r w:rsidRPr="00FD0D21">
        <w:rPr>
          <w:rFonts w:ascii="Times New Roman" w:hAnsi="Times New Roman" w:cs="Times New Roman"/>
          <w:b/>
          <w:bCs/>
          <w:sz w:val="56"/>
          <w:szCs w:val="56"/>
          <w:lang w:val="sr-Cyrl-RS"/>
        </w:rPr>
        <w:br/>
        <w:t>РУРАЛНОГ РАЗВОЈА</w:t>
      </w:r>
    </w:p>
    <w:p w14:paraId="3BF78DBD" w14:textId="70AFA98E" w:rsidR="00FD0D21" w:rsidRPr="00FD0D21" w:rsidRDefault="00FD0D21" w:rsidP="00FD0D21">
      <w:pPr>
        <w:spacing w:after="0" w:line="240" w:lineRule="auto"/>
        <w:jc w:val="center"/>
        <w:rPr>
          <w:rFonts w:ascii="Times New Roman" w:hAnsi="Times New Roman" w:cs="Times New Roman"/>
          <w:b/>
          <w:bCs/>
          <w:sz w:val="28"/>
          <w:szCs w:val="28"/>
          <w:lang w:val="sr-Cyrl-RS"/>
        </w:rPr>
      </w:pPr>
      <w:r w:rsidRPr="00FD0D21">
        <w:rPr>
          <w:rFonts w:ascii="Times New Roman" w:hAnsi="Times New Roman" w:cs="Times New Roman"/>
          <w:b/>
          <w:bCs/>
          <w:sz w:val="28"/>
          <w:szCs w:val="28"/>
          <w:lang w:val="sr-Cyrl-RS"/>
        </w:rPr>
        <w:t>ЗА ПЕРИОД 2020 – 2023</w:t>
      </w:r>
    </w:p>
    <w:p w14:paraId="32ADFF02" w14:textId="63B65843" w:rsidR="00FD0D21" w:rsidRDefault="00FD0D21" w:rsidP="00FD0D21">
      <w:pPr>
        <w:spacing w:before="6360" w:after="0" w:line="240" w:lineRule="auto"/>
        <w:jc w:val="center"/>
        <w:rPr>
          <w:rFonts w:ascii="Times New Roman" w:hAnsi="Times New Roman" w:cs="Times New Roman"/>
          <w:sz w:val="28"/>
          <w:szCs w:val="28"/>
          <w:lang w:val="sr-Cyrl-RS"/>
        </w:rPr>
      </w:pPr>
      <w:r w:rsidRPr="00FD0D21">
        <w:rPr>
          <w:rFonts w:ascii="Times New Roman" w:hAnsi="Times New Roman" w:cs="Times New Roman"/>
          <w:sz w:val="28"/>
          <w:szCs w:val="28"/>
          <w:lang w:val="sr-Cyrl-RS"/>
        </w:rPr>
        <w:t>Октобар, 2020</w:t>
      </w:r>
      <w:r>
        <w:rPr>
          <w:rFonts w:ascii="Times New Roman" w:hAnsi="Times New Roman" w:cs="Times New Roman"/>
          <w:sz w:val="28"/>
          <w:szCs w:val="28"/>
          <w:lang w:val="sr-Cyrl-RS"/>
        </w:rPr>
        <w:br w:type="page"/>
      </w:r>
    </w:p>
    <w:p w14:paraId="0AC3005D" w14:textId="4342CA56" w:rsidR="00FD0D21" w:rsidRPr="0094020C" w:rsidRDefault="00FD0D21" w:rsidP="00FD0D21">
      <w:pPr>
        <w:pStyle w:val="a"/>
        <w:rPr>
          <w:lang w:val="sr-Latn-RS"/>
        </w:rPr>
      </w:pPr>
      <w:r>
        <w:lastRenderedPageBreak/>
        <w:t>САДРЖАЈ</w:t>
      </w:r>
    </w:p>
    <w:p w14:paraId="4C96F2BD" w14:textId="1BB7489E" w:rsidR="00B77608" w:rsidRPr="00B77608" w:rsidRDefault="00C245D6" w:rsidP="00B77608">
      <w:pPr>
        <w:pStyle w:val="TOC1"/>
        <w:rPr>
          <w:rFonts w:ascii="Times New Roman" w:hAnsi="Times New Roman"/>
        </w:rPr>
      </w:pPr>
      <w:r>
        <w:rPr>
          <w:rFonts w:ascii="Times New Roman" w:hAnsi="Times New Roman"/>
          <w:sz w:val="28"/>
          <w:szCs w:val="28"/>
          <w:lang w:val="sr-Cyrl-RS"/>
        </w:rPr>
        <w:fldChar w:fldCharType="begin"/>
      </w:r>
      <w:r>
        <w:rPr>
          <w:rFonts w:ascii="Times New Roman" w:hAnsi="Times New Roman"/>
          <w:sz w:val="28"/>
          <w:szCs w:val="28"/>
          <w:lang w:val="sr-Cyrl-RS"/>
        </w:rPr>
        <w:instrText xml:space="preserve"> TOC \h \z \t "НАСЛОВ-1;1;Подн-1;2;Подн-2;3;Подн-3;4;Подн-4;5" </w:instrText>
      </w:r>
      <w:r>
        <w:rPr>
          <w:rFonts w:ascii="Times New Roman" w:hAnsi="Times New Roman"/>
          <w:sz w:val="28"/>
          <w:szCs w:val="28"/>
          <w:lang w:val="sr-Cyrl-RS"/>
        </w:rPr>
        <w:fldChar w:fldCharType="separate"/>
      </w:r>
      <w:hyperlink w:anchor="_Toc55208017" w:history="1">
        <w:r w:rsidR="00B77608" w:rsidRPr="00B77608">
          <w:rPr>
            <w:rStyle w:val="Hyperlink"/>
            <w:rFonts w:ascii="Times New Roman" w:hAnsi="Times New Roman"/>
          </w:rPr>
          <w:t>ЛИСТА СКРАЋЕНИЦА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_Toc55208017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4</w:t>
        </w:r>
        <w:r w:rsidR="00B77608" w:rsidRPr="00B77608">
          <w:rPr>
            <w:rFonts w:ascii="Times New Roman" w:hAnsi="Times New Roman"/>
            <w:webHidden/>
          </w:rPr>
          <w:fldChar w:fldCharType="end"/>
        </w:r>
      </w:hyperlink>
    </w:p>
    <w:p w14:paraId="55EB26AF" w14:textId="41FD8094" w:rsidR="00B77608" w:rsidRPr="00B77608" w:rsidRDefault="00286667" w:rsidP="00B77608">
      <w:pPr>
        <w:pStyle w:val="TOC1"/>
        <w:rPr>
          <w:rFonts w:ascii="Times New Roman" w:hAnsi="Times New Roman"/>
        </w:rPr>
      </w:pPr>
      <w:hyperlink w:anchor="_Toc55208018" w:history="1">
        <w:r w:rsidR="00B77608" w:rsidRPr="00B77608">
          <w:rPr>
            <w:rStyle w:val="Hyperlink"/>
            <w:rFonts w:ascii="Times New Roman" w:hAnsi="Times New Roman"/>
          </w:rPr>
          <w:t>УВОД</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_Toc55208018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5</w:t>
        </w:r>
        <w:r w:rsidR="00B77608" w:rsidRPr="00B77608">
          <w:rPr>
            <w:rFonts w:ascii="Times New Roman" w:hAnsi="Times New Roman"/>
            <w:webHidden/>
          </w:rPr>
          <w:fldChar w:fldCharType="end"/>
        </w:r>
      </w:hyperlink>
    </w:p>
    <w:p w14:paraId="3937E23D" w14:textId="3635C295" w:rsidR="00B77608" w:rsidRPr="00B77608" w:rsidRDefault="00286667" w:rsidP="00B77608">
      <w:pPr>
        <w:pStyle w:val="TOC2"/>
        <w:rPr>
          <w:rFonts w:ascii="Times New Roman" w:hAnsi="Times New Roman"/>
        </w:rPr>
      </w:pPr>
      <w:hyperlink w:anchor="_Toc55208019" w:history="1">
        <w:r w:rsidR="00B77608" w:rsidRPr="00B77608">
          <w:rPr>
            <w:rStyle w:val="Hyperlink"/>
            <w:rFonts w:ascii="Times New Roman" w:hAnsi="Times New Roman"/>
            <w:b w:val="0"/>
            <w:bCs w:val="0"/>
          </w:rPr>
          <w:t>1.</w:t>
        </w:r>
        <w:r w:rsidR="00B77608" w:rsidRPr="00B77608">
          <w:rPr>
            <w:rFonts w:ascii="Times New Roman" w:hAnsi="Times New Roman"/>
          </w:rPr>
          <w:tab/>
        </w:r>
        <w:r w:rsidR="00B77608" w:rsidRPr="00B77608">
          <w:rPr>
            <w:rStyle w:val="Hyperlink"/>
            <w:rFonts w:ascii="Times New Roman" w:hAnsi="Times New Roman"/>
            <w:b w:val="0"/>
            <w:bCs w:val="0"/>
          </w:rPr>
          <w:t>Дефиниција подручја и популације обухваћене Локалном стратегијом руралног развоја ЛАГ „Јастребачка”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_Toc55208019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7</w:t>
        </w:r>
        <w:r w:rsidR="00B77608" w:rsidRPr="00B77608">
          <w:rPr>
            <w:rFonts w:ascii="Times New Roman" w:hAnsi="Times New Roman"/>
            <w:webHidden/>
          </w:rPr>
          <w:fldChar w:fldCharType="end"/>
        </w:r>
      </w:hyperlink>
    </w:p>
    <w:p w14:paraId="2FEF0FC2" w14:textId="65617F9F" w:rsidR="00B77608" w:rsidRPr="00B77608" w:rsidRDefault="00286667">
      <w:pPr>
        <w:pStyle w:val="TOC3"/>
        <w:rPr>
          <w:rFonts w:ascii="Times New Roman" w:hAnsi="Times New Roman"/>
          <w:noProof/>
        </w:rPr>
      </w:pPr>
      <w:hyperlink w:anchor="_Toc55208020" w:history="1">
        <w:r w:rsidR="00B77608" w:rsidRPr="00B77608">
          <w:rPr>
            <w:rStyle w:val="Hyperlink"/>
            <w:rFonts w:ascii="Times New Roman" w:hAnsi="Times New Roman"/>
            <w:noProof/>
          </w:rPr>
          <w:t>а) Опште географске и административне карактеристике подручја, културна, историјска и природна баштина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_Toc55208020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7</w:t>
        </w:r>
        <w:r w:rsidR="00B77608" w:rsidRPr="00B77608">
          <w:rPr>
            <w:rFonts w:ascii="Times New Roman" w:hAnsi="Times New Roman"/>
            <w:noProof/>
            <w:webHidden/>
          </w:rPr>
          <w:fldChar w:fldCharType="end"/>
        </w:r>
      </w:hyperlink>
    </w:p>
    <w:p w14:paraId="013C57E7" w14:textId="49BF8FE7" w:rsidR="00B77608" w:rsidRPr="00B77608" w:rsidRDefault="00286667">
      <w:pPr>
        <w:pStyle w:val="TOC4"/>
        <w:rPr>
          <w:rFonts w:ascii="Times New Roman" w:eastAsiaTheme="minorEastAsia" w:hAnsi="Times New Roman" w:cs="Times New Roman"/>
          <w:noProof/>
        </w:rPr>
      </w:pPr>
      <w:hyperlink w:anchor="_Toc55208021" w:history="1">
        <w:r w:rsidR="00B77608" w:rsidRPr="00B77608">
          <w:rPr>
            <w:rStyle w:val="Hyperlink"/>
            <w:rFonts w:ascii="Times New Roman" w:hAnsi="Times New Roman" w:cs="Times New Roman"/>
            <w:noProof/>
          </w:rPr>
          <w:t>Природни услови и животна средина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_Toc55208021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8</w:t>
        </w:r>
        <w:r w:rsidR="00B77608" w:rsidRPr="00B77608">
          <w:rPr>
            <w:rFonts w:ascii="Times New Roman" w:hAnsi="Times New Roman" w:cs="Times New Roman"/>
            <w:noProof/>
            <w:webHidden/>
          </w:rPr>
          <w:fldChar w:fldCharType="end"/>
        </w:r>
      </w:hyperlink>
    </w:p>
    <w:p w14:paraId="0304E4E8" w14:textId="09EA5CB2" w:rsidR="00B77608" w:rsidRPr="00B77608" w:rsidRDefault="00286667">
      <w:pPr>
        <w:pStyle w:val="TOC4"/>
        <w:rPr>
          <w:rFonts w:ascii="Times New Roman" w:eastAsiaTheme="minorEastAsia" w:hAnsi="Times New Roman" w:cs="Times New Roman"/>
          <w:noProof/>
        </w:rPr>
      </w:pPr>
      <w:hyperlink w:anchor="_Toc55208022" w:history="1">
        <w:r w:rsidR="00B77608" w:rsidRPr="00B77608">
          <w:rPr>
            <w:rStyle w:val="Hyperlink"/>
            <w:rFonts w:ascii="Times New Roman" w:hAnsi="Times New Roman" w:cs="Times New Roman"/>
            <w:noProof/>
          </w:rPr>
          <w:t>Историјски контекст подручја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_Toc55208022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9</w:t>
        </w:r>
        <w:r w:rsidR="00B77608" w:rsidRPr="00B77608">
          <w:rPr>
            <w:rFonts w:ascii="Times New Roman" w:hAnsi="Times New Roman" w:cs="Times New Roman"/>
            <w:noProof/>
            <w:webHidden/>
          </w:rPr>
          <w:fldChar w:fldCharType="end"/>
        </w:r>
      </w:hyperlink>
    </w:p>
    <w:p w14:paraId="6DCE3D4B" w14:textId="2238E5AD" w:rsidR="00B77608" w:rsidRPr="00B77608" w:rsidRDefault="00286667">
      <w:pPr>
        <w:pStyle w:val="TOC3"/>
        <w:rPr>
          <w:rFonts w:ascii="Times New Roman" w:hAnsi="Times New Roman"/>
          <w:noProof/>
        </w:rPr>
      </w:pPr>
      <w:hyperlink w:anchor="_Toc55208023" w:history="1">
        <w:r w:rsidR="00B77608" w:rsidRPr="00B77608">
          <w:rPr>
            <w:rStyle w:val="Hyperlink"/>
            <w:rFonts w:ascii="Times New Roman" w:hAnsi="Times New Roman"/>
            <w:noProof/>
          </w:rPr>
          <w:t>б) Привредне карактеристике подручја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_Toc55208023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9</w:t>
        </w:r>
        <w:r w:rsidR="00B77608" w:rsidRPr="00B77608">
          <w:rPr>
            <w:rFonts w:ascii="Times New Roman" w:hAnsi="Times New Roman"/>
            <w:noProof/>
            <w:webHidden/>
          </w:rPr>
          <w:fldChar w:fldCharType="end"/>
        </w:r>
      </w:hyperlink>
    </w:p>
    <w:p w14:paraId="1C12679C" w14:textId="50832F2E" w:rsidR="00B77608" w:rsidRPr="00B77608" w:rsidRDefault="00286667">
      <w:pPr>
        <w:pStyle w:val="TOC3"/>
        <w:rPr>
          <w:rFonts w:ascii="Times New Roman" w:hAnsi="Times New Roman"/>
          <w:noProof/>
        </w:rPr>
      </w:pPr>
      <w:hyperlink w:anchor="_Toc55208024" w:history="1">
        <w:r w:rsidR="00B77608" w:rsidRPr="00B77608">
          <w:rPr>
            <w:rStyle w:val="Hyperlink"/>
            <w:rFonts w:ascii="Times New Roman" w:hAnsi="Times New Roman"/>
            <w:noProof/>
          </w:rPr>
          <w:t>в) Стање и трендови у руралном подручју – демографске и социјалне карактеристике подручја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_Toc55208024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12</w:t>
        </w:r>
        <w:r w:rsidR="00B77608" w:rsidRPr="00B77608">
          <w:rPr>
            <w:rFonts w:ascii="Times New Roman" w:hAnsi="Times New Roman"/>
            <w:noProof/>
            <w:webHidden/>
          </w:rPr>
          <w:fldChar w:fldCharType="end"/>
        </w:r>
      </w:hyperlink>
    </w:p>
    <w:p w14:paraId="091D927C" w14:textId="21A3D77D" w:rsidR="00B77608" w:rsidRPr="00B77608" w:rsidRDefault="00286667">
      <w:pPr>
        <w:pStyle w:val="TOC4"/>
        <w:rPr>
          <w:rFonts w:ascii="Times New Roman" w:eastAsiaTheme="minorEastAsia" w:hAnsi="Times New Roman" w:cs="Times New Roman"/>
          <w:noProof/>
        </w:rPr>
      </w:pPr>
      <w:hyperlink w:anchor="_Toc55208025" w:history="1">
        <w:r w:rsidR="00B77608" w:rsidRPr="00B77608">
          <w:rPr>
            <w:rStyle w:val="Hyperlink"/>
            <w:rFonts w:ascii="Times New Roman" w:hAnsi="Times New Roman" w:cs="Times New Roman"/>
            <w:noProof/>
          </w:rPr>
          <w:t>Образовање</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_Toc55208025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14</w:t>
        </w:r>
        <w:r w:rsidR="00B77608" w:rsidRPr="00B77608">
          <w:rPr>
            <w:rFonts w:ascii="Times New Roman" w:hAnsi="Times New Roman" w:cs="Times New Roman"/>
            <w:noProof/>
            <w:webHidden/>
          </w:rPr>
          <w:fldChar w:fldCharType="end"/>
        </w:r>
      </w:hyperlink>
    </w:p>
    <w:p w14:paraId="4E89451C" w14:textId="598F9FBD" w:rsidR="00B77608" w:rsidRPr="00B77608" w:rsidRDefault="00286667">
      <w:pPr>
        <w:pStyle w:val="TOC4"/>
        <w:rPr>
          <w:rFonts w:ascii="Times New Roman" w:eastAsiaTheme="minorEastAsia" w:hAnsi="Times New Roman" w:cs="Times New Roman"/>
          <w:noProof/>
        </w:rPr>
      </w:pPr>
      <w:hyperlink w:anchor="_Toc55208026" w:history="1">
        <w:r w:rsidR="00B77608" w:rsidRPr="00B77608">
          <w:rPr>
            <w:rStyle w:val="Hyperlink"/>
            <w:rFonts w:ascii="Times New Roman" w:hAnsi="Times New Roman" w:cs="Times New Roman"/>
            <w:noProof/>
          </w:rPr>
          <w:t>Култура и културна баштина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_Toc55208026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20</w:t>
        </w:r>
        <w:r w:rsidR="00B77608" w:rsidRPr="00B77608">
          <w:rPr>
            <w:rFonts w:ascii="Times New Roman" w:hAnsi="Times New Roman" w:cs="Times New Roman"/>
            <w:noProof/>
            <w:webHidden/>
          </w:rPr>
          <w:fldChar w:fldCharType="end"/>
        </w:r>
      </w:hyperlink>
    </w:p>
    <w:p w14:paraId="032D2781" w14:textId="07ECFB4B" w:rsidR="00B77608" w:rsidRPr="00B77608" w:rsidRDefault="00286667" w:rsidP="00B77608">
      <w:pPr>
        <w:pStyle w:val="TOC2"/>
        <w:rPr>
          <w:rFonts w:ascii="Times New Roman" w:hAnsi="Times New Roman"/>
        </w:rPr>
      </w:pPr>
      <w:hyperlink w:anchor="_Toc55208027" w:history="1">
        <w:r w:rsidR="00B77608" w:rsidRPr="00B77608">
          <w:rPr>
            <w:rStyle w:val="Hyperlink"/>
            <w:rFonts w:ascii="Times New Roman" w:hAnsi="Times New Roman"/>
          </w:rPr>
          <w:t>2.</w:t>
        </w:r>
        <w:r w:rsidR="00B77608" w:rsidRPr="00B77608">
          <w:rPr>
            <w:rFonts w:ascii="Times New Roman" w:hAnsi="Times New Roman"/>
          </w:rPr>
          <w:tab/>
        </w:r>
        <w:r w:rsidR="00B77608" w:rsidRPr="00B77608">
          <w:rPr>
            <w:rStyle w:val="Hyperlink"/>
            <w:rFonts w:ascii="Times New Roman" w:hAnsi="Times New Roman"/>
          </w:rPr>
          <w:t xml:space="preserve">Анализа развојних потреба и потенцијала подручја на којем се налази Партнерство, укључујући </w:t>
        </w:r>
        <w:r w:rsidR="00B77608" w:rsidRPr="00B77608">
          <w:rPr>
            <w:rStyle w:val="Hyperlink"/>
            <w:rFonts w:ascii="Times New Roman" w:hAnsi="Times New Roman"/>
            <w:lang w:val="sr-Latn-RS"/>
          </w:rPr>
          <w:t xml:space="preserve">SWOT </w:t>
        </w:r>
        <w:r w:rsidR="00B77608" w:rsidRPr="00B77608">
          <w:rPr>
            <w:rStyle w:val="Hyperlink"/>
            <w:rFonts w:ascii="Times New Roman" w:hAnsi="Times New Roman"/>
          </w:rPr>
          <w:t>анализу</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_Toc55208027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23</w:t>
        </w:r>
        <w:r w:rsidR="00B77608" w:rsidRPr="00B77608">
          <w:rPr>
            <w:rFonts w:ascii="Times New Roman" w:hAnsi="Times New Roman"/>
            <w:webHidden/>
          </w:rPr>
          <w:fldChar w:fldCharType="end"/>
        </w:r>
      </w:hyperlink>
    </w:p>
    <w:p w14:paraId="76513BA7" w14:textId="26837B0B" w:rsidR="00B77608" w:rsidRPr="00B77608" w:rsidRDefault="00286667" w:rsidP="00B77608">
      <w:pPr>
        <w:pStyle w:val="TOC2"/>
        <w:rPr>
          <w:rFonts w:ascii="Times New Roman" w:hAnsi="Times New Roman"/>
        </w:rPr>
      </w:pPr>
      <w:hyperlink w:anchor="_Toc55208028" w:history="1">
        <w:r w:rsidR="00B77608" w:rsidRPr="00B77608">
          <w:rPr>
            <w:rStyle w:val="Hyperlink"/>
            <w:rFonts w:ascii="Times New Roman" w:hAnsi="Times New Roman"/>
          </w:rPr>
          <w:t>3.</w:t>
        </w:r>
        <w:r w:rsidR="00B77608" w:rsidRPr="00B77608">
          <w:rPr>
            <w:rFonts w:ascii="Times New Roman" w:hAnsi="Times New Roman"/>
          </w:rPr>
          <w:tab/>
        </w:r>
        <w:r w:rsidR="00B77608" w:rsidRPr="00B77608">
          <w:rPr>
            <w:rStyle w:val="Hyperlink"/>
            <w:rFonts w:ascii="Times New Roman" w:hAnsi="Times New Roman"/>
          </w:rPr>
          <w:t>Опис Локалне стратегије руралног развоја и њених циљева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_Toc55208028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28</w:t>
        </w:r>
        <w:r w:rsidR="00B77608" w:rsidRPr="00B77608">
          <w:rPr>
            <w:rFonts w:ascii="Times New Roman" w:hAnsi="Times New Roman"/>
            <w:webHidden/>
          </w:rPr>
          <w:fldChar w:fldCharType="end"/>
        </w:r>
      </w:hyperlink>
    </w:p>
    <w:p w14:paraId="256A73ED" w14:textId="6A04F875" w:rsidR="00B77608" w:rsidRPr="00B77608" w:rsidRDefault="00286667">
      <w:pPr>
        <w:pStyle w:val="TOC3"/>
        <w:rPr>
          <w:rFonts w:ascii="Times New Roman" w:hAnsi="Times New Roman"/>
          <w:noProof/>
        </w:rPr>
      </w:pPr>
      <w:hyperlink w:anchor="_Toc55208029" w:history="1">
        <w:r w:rsidR="00B77608" w:rsidRPr="00B77608">
          <w:rPr>
            <w:rStyle w:val="Hyperlink"/>
            <w:rFonts w:ascii="Times New Roman" w:hAnsi="Times New Roman"/>
            <w:noProof/>
          </w:rPr>
          <w:t>а) Опис интегрисаног и иновативног карактера стратегије и хијерархије циљева, укључујући јасне и мерљиве показатеље индикаторе за резултате</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_Toc55208029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28</w:t>
        </w:r>
        <w:r w:rsidR="00B77608" w:rsidRPr="00B77608">
          <w:rPr>
            <w:rFonts w:ascii="Times New Roman" w:hAnsi="Times New Roman"/>
            <w:noProof/>
            <w:webHidden/>
          </w:rPr>
          <w:fldChar w:fldCharType="end"/>
        </w:r>
      </w:hyperlink>
    </w:p>
    <w:p w14:paraId="7FEE180C" w14:textId="687D84BF" w:rsidR="00B77608" w:rsidRPr="00B77608" w:rsidRDefault="00286667">
      <w:pPr>
        <w:pStyle w:val="TOC3"/>
        <w:rPr>
          <w:rFonts w:ascii="Times New Roman" w:hAnsi="Times New Roman"/>
          <w:noProof/>
        </w:rPr>
      </w:pPr>
      <w:hyperlink w:anchor="_Toc55208030" w:history="1">
        <w:r w:rsidR="00B77608" w:rsidRPr="00B77608">
          <w:rPr>
            <w:rStyle w:val="Hyperlink"/>
            <w:rFonts w:ascii="Times New Roman" w:hAnsi="Times New Roman"/>
            <w:noProof/>
          </w:rPr>
          <w:t>б) Опис кохерентности ЛСРР са релевантним националним стратегијама и програмима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_Toc55208030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29</w:t>
        </w:r>
        <w:r w:rsidR="00B77608" w:rsidRPr="00B77608">
          <w:rPr>
            <w:rFonts w:ascii="Times New Roman" w:hAnsi="Times New Roman"/>
            <w:noProof/>
            <w:webHidden/>
          </w:rPr>
          <w:fldChar w:fldCharType="end"/>
        </w:r>
      </w:hyperlink>
    </w:p>
    <w:p w14:paraId="6C1D731A" w14:textId="2FA733FC" w:rsidR="00B77608" w:rsidRPr="00B77608" w:rsidRDefault="00286667">
      <w:pPr>
        <w:pStyle w:val="TOC4"/>
        <w:rPr>
          <w:rFonts w:ascii="Times New Roman" w:eastAsiaTheme="minorEastAsia" w:hAnsi="Times New Roman" w:cs="Times New Roman"/>
          <w:noProof/>
        </w:rPr>
      </w:pPr>
      <w:hyperlink w:anchor="_Toc55208031" w:history="1">
        <w:r w:rsidR="00B77608" w:rsidRPr="00B77608">
          <w:rPr>
            <w:rStyle w:val="Hyperlink"/>
            <w:rFonts w:ascii="Times New Roman" w:hAnsi="Times New Roman" w:cs="Times New Roman"/>
            <w:noProof/>
          </w:rPr>
          <w:t>Усаглашеност циљева ЛСРР са развојним стратегијама и програмима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_Toc55208031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29</w:t>
        </w:r>
        <w:r w:rsidR="00B77608" w:rsidRPr="00B77608">
          <w:rPr>
            <w:rFonts w:ascii="Times New Roman" w:hAnsi="Times New Roman" w:cs="Times New Roman"/>
            <w:noProof/>
            <w:webHidden/>
          </w:rPr>
          <w:fldChar w:fldCharType="end"/>
        </w:r>
      </w:hyperlink>
    </w:p>
    <w:p w14:paraId="40D59844" w14:textId="4900E55D" w:rsidR="00B77608" w:rsidRPr="00B77608" w:rsidRDefault="00286667">
      <w:pPr>
        <w:pStyle w:val="TOC4"/>
        <w:rPr>
          <w:rFonts w:ascii="Times New Roman" w:eastAsiaTheme="minorEastAsia" w:hAnsi="Times New Roman" w:cs="Times New Roman"/>
          <w:noProof/>
        </w:rPr>
      </w:pPr>
      <w:hyperlink w:anchor="_Toc55208032" w:history="1">
        <w:r w:rsidR="00B77608" w:rsidRPr="00B77608">
          <w:rPr>
            <w:rStyle w:val="Hyperlink"/>
            <w:rFonts w:ascii="Times New Roman" w:hAnsi="Times New Roman" w:cs="Times New Roman"/>
            <w:noProof/>
          </w:rPr>
          <w:t>Улога других релевантних развојних стратегија у дефинисању ЛСРР</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_Toc55208032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30</w:t>
        </w:r>
        <w:r w:rsidR="00B77608" w:rsidRPr="00B77608">
          <w:rPr>
            <w:rFonts w:ascii="Times New Roman" w:hAnsi="Times New Roman" w:cs="Times New Roman"/>
            <w:noProof/>
            <w:webHidden/>
          </w:rPr>
          <w:fldChar w:fldCharType="end"/>
        </w:r>
      </w:hyperlink>
    </w:p>
    <w:p w14:paraId="5D3F513A" w14:textId="0B5C5647" w:rsidR="00B77608" w:rsidRPr="00B77608" w:rsidRDefault="00286667">
      <w:pPr>
        <w:pStyle w:val="TOC3"/>
        <w:rPr>
          <w:rFonts w:ascii="Times New Roman" w:hAnsi="Times New Roman"/>
          <w:noProof/>
        </w:rPr>
      </w:pPr>
      <w:hyperlink w:anchor="_Toc55208033" w:history="1">
        <w:r w:rsidR="00B77608" w:rsidRPr="00B77608">
          <w:rPr>
            <w:rStyle w:val="Hyperlink"/>
            <w:rFonts w:ascii="Times New Roman" w:hAnsi="Times New Roman"/>
            <w:noProof/>
          </w:rPr>
          <w:t>в. Опис области и тема обухваћених приоритетним пројектима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_Toc55208033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30</w:t>
        </w:r>
        <w:r w:rsidR="00B77608" w:rsidRPr="00B77608">
          <w:rPr>
            <w:rFonts w:ascii="Times New Roman" w:hAnsi="Times New Roman"/>
            <w:noProof/>
            <w:webHidden/>
          </w:rPr>
          <w:fldChar w:fldCharType="end"/>
        </w:r>
      </w:hyperlink>
    </w:p>
    <w:p w14:paraId="611C06D2" w14:textId="7DCB8CFD" w:rsidR="00B77608" w:rsidRPr="00B77608" w:rsidRDefault="00286667">
      <w:pPr>
        <w:pStyle w:val="TOC3"/>
        <w:rPr>
          <w:rFonts w:ascii="Times New Roman" w:hAnsi="Times New Roman"/>
          <w:noProof/>
        </w:rPr>
      </w:pPr>
      <w:hyperlink w:anchor="_Toc55208034" w:history="1">
        <w:r w:rsidR="00B77608" w:rsidRPr="00B77608">
          <w:rPr>
            <w:rStyle w:val="Hyperlink"/>
            <w:rFonts w:ascii="Times New Roman" w:hAnsi="Times New Roman"/>
            <w:noProof/>
          </w:rPr>
          <w:t>1. ЦИЉ</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Подизање капацитета привреде и јачање конкурентног пословног окружења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_Toc55208034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31</w:t>
        </w:r>
        <w:r w:rsidR="00B77608" w:rsidRPr="00B77608">
          <w:rPr>
            <w:rFonts w:ascii="Times New Roman" w:hAnsi="Times New Roman"/>
            <w:noProof/>
            <w:webHidden/>
          </w:rPr>
          <w:fldChar w:fldCharType="end"/>
        </w:r>
      </w:hyperlink>
    </w:p>
    <w:p w14:paraId="0B3E7D96" w14:textId="569D98B9" w:rsidR="00B77608" w:rsidRPr="00B77608" w:rsidRDefault="00286667">
      <w:pPr>
        <w:pStyle w:val="TOC4"/>
        <w:rPr>
          <w:rFonts w:ascii="Times New Roman" w:eastAsiaTheme="minorEastAsia" w:hAnsi="Times New Roman" w:cs="Times New Roman"/>
          <w:noProof/>
        </w:rPr>
      </w:pPr>
      <w:hyperlink w:anchor="_Toc55208035" w:history="1">
        <w:r w:rsidR="00B77608" w:rsidRPr="00B77608">
          <w:rPr>
            <w:rStyle w:val="Hyperlink"/>
            <w:rFonts w:ascii="Times New Roman" w:hAnsi="Times New Roman" w:cs="Times New Roman"/>
            <w:noProof/>
          </w:rPr>
          <w:t>Приоритет 1.1. - Развој конкурентне и одрживе пољопривреде</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_Toc55208035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31</w:t>
        </w:r>
        <w:r w:rsidR="00B77608" w:rsidRPr="00B77608">
          <w:rPr>
            <w:rFonts w:ascii="Times New Roman" w:hAnsi="Times New Roman" w:cs="Times New Roman"/>
            <w:noProof/>
            <w:webHidden/>
          </w:rPr>
          <w:fldChar w:fldCharType="end"/>
        </w:r>
      </w:hyperlink>
    </w:p>
    <w:p w14:paraId="7764880E" w14:textId="264D26A8" w:rsidR="00B77608" w:rsidRPr="00B77608" w:rsidRDefault="00286667">
      <w:pPr>
        <w:pStyle w:val="TOC4"/>
        <w:rPr>
          <w:rFonts w:ascii="Times New Roman" w:eastAsiaTheme="minorEastAsia" w:hAnsi="Times New Roman" w:cs="Times New Roman"/>
          <w:noProof/>
        </w:rPr>
      </w:pPr>
      <w:hyperlink w:anchor="_Toc55208036" w:history="1">
        <w:r w:rsidR="00B77608" w:rsidRPr="00B77608">
          <w:rPr>
            <w:rStyle w:val="Hyperlink"/>
            <w:rFonts w:ascii="Times New Roman" w:hAnsi="Times New Roman" w:cs="Times New Roman"/>
            <w:noProof/>
          </w:rPr>
          <w:t>Приоритет 1.2. - Стимулисање развоја предузетништва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_Toc55208036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31</w:t>
        </w:r>
        <w:r w:rsidR="00B77608" w:rsidRPr="00B77608">
          <w:rPr>
            <w:rFonts w:ascii="Times New Roman" w:hAnsi="Times New Roman" w:cs="Times New Roman"/>
            <w:noProof/>
            <w:webHidden/>
          </w:rPr>
          <w:fldChar w:fldCharType="end"/>
        </w:r>
      </w:hyperlink>
    </w:p>
    <w:p w14:paraId="66C47380" w14:textId="10BEACB4" w:rsidR="00B77608" w:rsidRPr="00B77608" w:rsidRDefault="00286667">
      <w:pPr>
        <w:pStyle w:val="TOC4"/>
        <w:rPr>
          <w:rFonts w:ascii="Times New Roman" w:eastAsiaTheme="minorEastAsia" w:hAnsi="Times New Roman" w:cs="Times New Roman"/>
          <w:noProof/>
        </w:rPr>
      </w:pPr>
      <w:hyperlink w:anchor="_Toc55208037" w:history="1">
        <w:r w:rsidR="00B77608" w:rsidRPr="00B77608">
          <w:rPr>
            <w:rStyle w:val="Hyperlink"/>
            <w:rFonts w:ascii="Times New Roman" w:hAnsi="Times New Roman" w:cs="Times New Roman"/>
            <w:noProof/>
          </w:rPr>
          <w:t>Приоритет 1.3. - Одрживи развој руралног туризма утемељеног на очуваној природној и културној баштини</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_Toc55208037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198FDD6E" w14:textId="46196638" w:rsidR="00B77608" w:rsidRPr="00B77608" w:rsidRDefault="00286667">
      <w:pPr>
        <w:pStyle w:val="TOC3"/>
        <w:rPr>
          <w:rFonts w:ascii="Times New Roman" w:hAnsi="Times New Roman"/>
          <w:noProof/>
        </w:rPr>
      </w:pPr>
      <w:hyperlink w:anchor="_Toc55208038" w:history="1">
        <w:r w:rsidR="00B77608" w:rsidRPr="00B77608">
          <w:rPr>
            <w:rStyle w:val="Hyperlink"/>
            <w:rFonts w:ascii="Times New Roman" w:hAnsi="Times New Roman"/>
            <w:noProof/>
          </w:rPr>
          <w:t>2.</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ЦИЉ – Побољшање квалитета живота и подстицај непољопривредних делатности</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_Toc55208038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32</w:t>
        </w:r>
        <w:r w:rsidR="00B77608" w:rsidRPr="00B77608">
          <w:rPr>
            <w:rFonts w:ascii="Times New Roman" w:hAnsi="Times New Roman"/>
            <w:noProof/>
            <w:webHidden/>
          </w:rPr>
          <w:fldChar w:fldCharType="end"/>
        </w:r>
      </w:hyperlink>
    </w:p>
    <w:p w14:paraId="3F2E75F7" w14:textId="4F2FB4E1" w:rsidR="00B77608" w:rsidRPr="00B77608" w:rsidRDefault="00286667">
      <w:pPr>
        <w:pStyle w:val="TOC4"/>
        <w:rPr>
          <w:rFonts w:ascii="Times New Roman" w:eastAsiaTheme="minorEastAsia" w:hAnsi="Times New Roman" w:cs="Times New Roman"/>
          <w:noProof/>
        </w:rPr>
      </w:pPr>
      <w:hyperlink w:anchor="_Toc55208039" w:history="1">
        <w:r w:rsidR="00B77608" w:rsidRPr="00B77608">
          <w:rPr>
            <w:rStyle w:val="Hyperlink"/>
            <w:rFonts w:ascii="Times New Roman" w:hAnsi="Times New Roman" w:cs="Times New Roman"/>
            <w:noProof/>
          </w:rPr>
          <w:t>Приоритет 2.1.</w:t>
        </w:r>
        <w:r w:rsidR="00B77608" w:rsidRPr="00B77608">
          <w:rPr>
            <w:rStyle w:val="Hyperlink"/>
            <w:rFonts w:ascii="Times New Roman" w:hAnsi="Times New Roman" w:cs="Times New Roman"/>
            <w:noProof/>
            <w:lang w:val="sr-Latn-RS"/>
          </w:rPr>
          <w:t xml:space="preserve"> </w:t>
        </w:r>
        <w:r w:rsidR="00B77608" w:rsidRPr="00B77608">
          <w:rPr>
            <w:rStyle w:val="Hyperlink"/>
            <w:rFonts w:ascii="Times New Roman" w:hAnsi="Times New Roman" w:cs="Times New Roman"/>
            <w:noProof/>
          </w:rPr>
          <w:t>-  Развој и побољшање инфраструктуре у руралним областима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_Toc55208039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747056A0" w14:textId="3A7649BC" w:rsidR="00B77608" w:rsidRPr="00B77608" w:rsidRDefault="00286667">
      <w:pPr>
        <w:pStyle w:val="TOC4"/>
        <w:rPr>
          <w:rFonts w:ascii="Times New Roman" w:eastAsiaTheme="minorEastAsia" w:hAnsi="Times New Roman" w:cs="Times New Roman"/>
          <w:noProof/>
        </w:rPr>
      </w:pPr>
      <w:hyperlink w:anchor="_Toc55208040" w:history="1">
        <w:r w:rsidR="00B77608" w:rsidRPr="00B77608">
          <w:rPr>
            <w:rStyle w:val="Hyperlink"/>
            <w:rFonts w:ascii="Times New Roman" w:hAnsi="Times New Roman" w:cs="Times New Roman"/>
            <w:noProof/>
          </w:rPr>
          <w:t>Приоритет 2.2.</w:t>
        </w:r>
        <w:r w:rsidR="00B77608" w:rsidRPr="00B77608">
          <w:rPr>
            <w:rStyle w:val="Hyperlink"/>
            <w:rFonts w:ascii="Times New Roman" w:hAnsi="Times New Roman" w:cs="Times New Roman"/>
            <w:noProof/>
            <w:lang w:val="sr-Latn-RS"/>
          </w:rPr>
          <w:t xml:space="preserve"> </w:t>
        </w:r>
        <w:r w:rsidR="00B77608" w:rsidRPr="00B77608">
          <w:rPr>
            <w:rStyle w:val="Hyperlink"/>
            <w:rFonts w:ascii="Times New Roman" w:hAnsi="Times New Roman" w:cs="Times New Roman"/>
            <w:noProof/>
          </w:rPr>
          <w:t>-  Подстицање образовања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_Toc55208040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14B8266C" w14:textId="22F52A78" w:rsidR="00B77608" w:rsidRPr="00B77608" w:rsidRDefault="00286667">
      <w:pPr>
        <w:pStyle w:val="TOC4"/>
        <w:rPr>
          <w:rFonts w:ascii="Times New Roman" w:eastAsiaTheme="minorEastAsia" w:hAnsi="Times New Roman" w:cs="Times New Roman"/>
          <w:noProof/>
        </w:rPr>
      </w:pPr>
      <w:hyperlink w:anchor="_Toc55208041" w:history="1">
        <w:r w:rsidR="00B77608" w:rsidRPr="00B77608">
          <w:rPr>
            <w:rStyle w:val="Hyperlink"/>
            <w:rFonts w:ascii="Times New Roman" w:hAnsi="Times New Roman" w:cs="Times New Roman"/>
            <w:noProof/>
          </w:rPr>
          <w:t>Приоритет 2.3 - Заштита и промоција људских права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_Toc55208041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77A6BF18" w14:textId="5A3AA986" w:rsidR="00B77608" w:rsidRPr="00B77608" w:rsidRDefault="00286667">
      <w:pPr>
        <w:pStyle w:val="TOC3"/>
        <w:rPr>
          <w:rFonts w:ascii="Times New Roman" w:hAnsi="Times New Roman"/>
          <w:noProof/>
        </w:rPr>
      </w:pPr>
      <w:hyperlink w:anchor="_Toc55208042" w:history="1">
        <w:r w:rsidR="00B77608" w:rsidRPr="00B77608">
          <w:rPr>
            <w:rStyle w:val="Hyperlink"/>
            <w:rFonts w:ascii="Times New Roman" w:hAnsi="Times New Roman"/>
            <w:noProof/>
          </w:rPr>
          <w:t>3.</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ЦИЉ</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Одрживи развој руралних подручја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_Toc55208042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32</w:t>
        </w:r>
        <w:r w:rsidR="00B77608" w:rsidRPr="00B77608">
          <w:rPr>
            <w:rFonts w:ascii="Times New Roman" w:hAnsi="Times New Roman"/>
            <w:noProof/>
            <w:webHidden/>
          </w:rPr>
          <w:fldChar w:fldCharType="end"/>
        </w:r>
      </w:hyperlink>
    </w:p>
    <w:p w14:paraId="52FDEEF5" w14:textId="3F5FCDC3" w:rsidR="00B77608" w:rsidRPr="00B77608" w:rsidRDefault="00286667">
      <w:pPr>
        <w:pStyle w:val="TOC4"/>
        <w:rPr>
          <w:rFonts w:ascii="Times New Roman" w:eastAsiaTheme="minorEastAsia" w:hAnsi="Times New Roman" w:cs="Times New Roman"/>
          <w:noProof/>
        </w:rPr>
      </w:pPr>
      <w:hyperlink w:anchor="_Toc55208043" w:history="1">
        <w:r w:rsidR="00B77608" w:rsidRPr="00B77608">
          <w:rPr>
            <w:rStyle w:val="Hyperlink"/>
            <w:rFonts w:ascii="Times New Roman" w:hAnsi="Times New Roman" w:cs="Times New Roman"/>
            <w:noProof/>
          </w:rPr>
          <w:t>Приоритет 3.1 - Заштита природних вредности и животне средине</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_Toc55208043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72C514ED" w14:textId="0A246FB5" w:rsidR="00B77608" w:rsidRPr="00B77608" w:rsidRDefault="00286667">
      <w:pPr>
        <w:pStyle w:val="TOC4"/>
        <w:rPr>
          <w:rFonts w:ascii="Times New Roman" w:eastAsiaTheme="minorEastAsia" w:hAnsi="Times New Roman" w:cs="Times New Roman"/>
          <w:noProof/>
        </w:rPr>
      </w:pPr>
      <w:hyperlink w:anchor="_Toc55208044" w:history="1">
        <w:r w:rsidR="00B77608" w:rsidRPr="00B77608">
          <w:rPr>
            <w:rStyle w:val="Hyperlink"/>
            <w:rFonts w:ascii="Times New Roman" w:hAnsi="Times New Roman" w:cs="Times New Roman"/>
            <w:noProof/>
          </w:rPr>
          <w:t>Приоритет 3.2 - Енергетска одрживост</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_Toc55208044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32</w:t>
        </w:r>
        <w:r w:rsidR="00B77608" w:rsidRPr="00B77608">
          <w:rPr>
            <w:rFonts w:ascii="Times New Roman" w:hAnsi="Times New Roman" w:cs="Times New Roman"/>
            <w:noProof/>
            <w:webHidden/>
          </w:rPr>
          <w:fldChar w:fldCharType="end"/>
        </w:r>
      </w:hyperlink>
    </w:p>
    <w:p w14:paraId="0DC0C5D5" w14:textId="73B7593D" w:rsidR="00B77608" w:rsidRPr="00B77608" w:rsidRDefault="00286667">
      <w:pPr>
        <w:pStyle w:val="TOC4"/>
        <w:rPr>
          <w:rFonts w:ascii="Times New Roman" w:eastAsiaTheme="minorEastAsia" w:hAnsi="Times New Roman" w:cs="Times New Roman"/>
          <w:noProof/>
        </w:rPr>
      </w:pPr>
      <w:hyperlink w:anchor="_Toc55208045" w:history="1">
        <w:r w:rsidR="00B77608" w:rsidRPr="00B77608">
          <w:rPr>
            <w:rStyle w:val="Hyperlink"/>
            <w:rFonts w:ascii="Times New Roman" w:hAnsi="Times New Roman" w:cs="Times New Roman"/>
            <w:noProof/>
          </w:rPr>
          <w:t>Приоритет 3.3 - Очување традиције и културне баштине</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_Toc55208045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33</w:t>
        </w:r>
        <w:r w:rsidR="00B77608" w:rsidRPr="00B77608">
          <w:rPr>
            <w:rFonts w:ascii="Times New Roman" w:hAnsi="Times New Roman" w:cs="Times New Roman"/>
            <w:noProof/>
            <w:webHidden/>
          </w:rPr>
          <w:fldChar w:fldCharType="end"/>
        </w:r>
      </w:hyperlink>
    </w:p>
    <w:p w14:paraId="37722810" w14:textId="7FDD27F1" w:rsidR="00B77608" w:rsidRPr="00B77608" w:rsidRDefault="00286667">
      <w:pPr>
        <w:pStyle w:val="TOC3"/>
        <w:rPr>
          <w:rFonts w:ascii="Times New Roman" w:hAnsi="Times New Roman"/>
          <w:noProof/>
        </w:rPr>
      </w:pPr>
      <w:hyperlink w:anchor="_Toc55208046" w:history="1">
        <w:r w:rsidR="00B77608" w:rsidRPr="00B77608">
          <w:rPr>
            <w:rStyle w:val="Hyperlink"/>
            <w:rFonts w:ascii="Times New Roman" w:hAnsi="Times New Roman"/>
            <w:noProof/>
          </w:rPr>
          <w:t>г. Опис критеријума и поступак за избор приоритетних пројеката на нивоу Партнерства.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_Toc55208046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33</w:t>
        </w:r>
        <w:r w:rsidR="00B77608" w:rsidRPr="00B77608">
          <w:rPr>
            <w:rFonts w:ascii="Times New Roman" w:hAnsi="Times New Roman"/>
            <w:noProof/>
            <w:webHidden/>
          </w:rPr>
          <w:fldChar w:fldCharType="end"/>
        </w:r>
      </w:hyperlink>
    </w:p>
    <w:p w14:paraId="3177C3AE" w14:textId="3582A531" w:rsidR="00B77608" w:rsidRPr="00B77608" w:rsidRDefault="00286667">
      <w:pPr>
        <w:pStyle w:val="TOC4"/>
        <w:rPr>
          <w:rFonts w:ascii="Times New Roman" w:eastAsiaTheme="minorEastAsia" w:hAnsi="Times New Roman" w:cs="Times New Roman"/>
          <w:noProof/>
        </w:rPr>
      </w:pPr>
      <w:hyperlink w:anchor="_Toc55208047" w:history="1">
        <w:r w:rsidR="00B77608" w:rsidRPr="00B77608">
          <w:rPr>
            <w:rStyle w:val="Hyperlink"/>
            <w:rFonts w:ascii="Times New Roman" w:hAnsi="Times New Roman" w:cs="Times New Roman"/>
            <w:noProof/>
          </w:rPr>
          <w:t>Евалуација, рангирање и одабир пројеката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_Toc55208047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33</w:t>
        </w:r>
        <w:r w:rsidR="00B77608" w:rsidRPr="00B77608">
          <w:rPr>
            <w:rFonts w:ascii="Times New Roman" w:hAnsi="Times New Roman" w:cs="Times New Roman"/>
            <w:noProof/>
            <w:webHidden/>
          </w:rPr>
          <w:fldChar w:fldCharType="end"/>
        </w:r>
      </w:hyperlink>
    </w:p>
    <w:p w14:paraId="5A9ACA31" w14:textId="39553A47" w:rsidR="00B77608" w:rsidRPr="00B77608" w:rsidRDefault="00286667" w:rsidP="00B77608">
      <w:pPr>
        <w:pStyle w:val="TOC2"/>
        <w:rPr>
          <w:rFonts w:ascii="Times New Roman" w:hAnsi="Times New Roman"/>
        </w:rPr>
      </w:pPr>
      <w:hyperlink w:anchor="_Toc55208048" w:history="1">
        <w:r w:rsidR="00B77608" w:rsidRPr="00B77608">
          <w:rPr>
            <w:rStyle w:val="Hyperlink"/>
            <w:rFonts w:ascii="Times New Roman" w:hAnsi="Times New Roman"/>
          </w:rPr>
          <w:t>4.</w:t>
        </w:r>
        <w:r w:rsidR="00B77608" w:rsidRPr="00B77608">
          <w:rPr>
            <w:rFonts w:ascii="Times New Roman" w:hAnsi="Times New Roman"/>
          </w:rPr>
          <w:tab/>
        </w:r>
        <w:r w:rsidR="00B77608" w:rsidRPr="00B77608">
          <w:rPr>
            <w:rStyle w:val="Hyperlink"/>
            <w:rFonts w:ascii="Times New Roman" w:hAnsi="Times New Roman"/>
          </w:rPr>
          <w:t>Опис процеса укључивања свих заинтересованих страна и шире друштвене заједнице у припреми Локалне стратегије руралног развоја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_Toc55208048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35</w:t>
        </w:r>
        <w:r w:rsidR="00B77608" w:rsidRPr="00B77608">
          <w:rPr>
            <w:rFonts w:ascii="Times New Roman" w:hAnsi="Times New Roman"/>
            <w:webHidden/>
          </w:rPr>
          <w:fldChar w:fldCharType="end"/>
        </w:r>
      </w:hyperlink>
    </w:p>
    <w:p w14:paraId="7F4BADC9" w14:textId="260F8210" w:rsidR="00B77608" w:rsidRPr="00B77608" w:rsidRDefault="00286667" w:rsidP="00B77608">
      <w:pPr>
        <w:pStyle w:val="TOC2"/>
        <w:rPr>
          <w:rFonts w:ascii="Times New Roman" w:hAnsi="Times New Roman"/>
        </w:rPr>
      </w:pPr>
      <w:hyperlink w:anchor="_Toc55208049" w:history="1">
        <w:r w:rsidR="00B77608" w:rsidRPr="00B77608">
          <w:rPr>
            <w:rStyle w:val="Hyperlink"/>
            <w:rFonts w:ascii="Times New Roman" w:hAnsi="Times New Roman"/>
          </w:rPr>
          <w:t>5.</w:t>
        </w:r>
        <w:r w:rsidR="00B77608" w:rsidRPr="00B77608">
          <w:rPr>
            <w:rFonts w:ascii="Times New Roman" w:hAnsi="Times New Roman"/>
          </w:rPr>
          <w:tab/>
        </w:r>
        <w:r w:rsidR="00B77608" w:rsidRPr="00B77608">
          <w:rPr>
            <w:rStyle w:val="Hyperlink"/>
            <w:rFonts w:ascii="Times New Roman" w:hAnsi="Times New Roman"/>
          </w:rPr>
          <w:t>Индикативна листа приоритетних пројеката – Акциони план спровођења Локалне стратегије руралног развоја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_Toc55208049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36</w:t>
        </w:r>
        <w:r w:rsidR="00B77608" w:rsidRPr="00B77608">
          <w:rPr>
            <w:rFonts w:ascii="Times New Roman" w:hAnsi="Times New Roman"/>
            <w:webHidden/>
          </w:rPr>
          <w:fldChar w:fldCharType="end"/>
        </w:r>
      </w:hyperlink>
    </w:p>
    <w:p w14:paraId="1556FF1E" w14:textId="663AB7F1" w:rsidR="00B77608" w:rsidRPr="00B77608" w:rsidRDefault="00286667">
      <w:pPr>
        <w:pStyle w:val="TOC3"/>
        <w:rPr>
          <w:rFonts w:ascii="Times New Roman" w:hAnsi="Times New Roman"/>
          <w:noProof/>
        </w:rPr>
      </w:pPr>
      <w:hyperlink w:anchor="_Toc55208050" w:history="1">
        <w:r w:rsidR="00B77608" w:rsidRPr="00B77608">
          <w:rPr>
            <w:rStyle w:val="Hyperlink"/>
            <w:rFonts w:ascii="Times New Roman" w:hAnsi="Times New Roman"/>
            <w:noProof/>
            <w:lang w:val="sr-Latn-RS"/>
          </w:rPr>
          <w:t>a</w:t>
        </w:r>
        <w:r w:rsidR="00B77608" w:rsidRPr="00B77608">
          <w:rPr>
            <w:rStyle w:val="Hyperlink"/>
            <w:rFonts w:ascii="Times New Roman" w:hAnsi="Times New Roman"/>
            <w:noProof/>
          </w:rPr>
          <w:t>.</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Начин спровођења Локалне стратегије руралног развоја и праћења имплементације приоритетних пројеката;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_Toc55208050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41</w:t>
        </w:r>
        <w:r w:rsidR="00B77608" w:rsidRPr="00B77608">
          <w:rPr>
            <w:rFonts w:ascii="Times New Roman" w:hAnsi="Times New Roman"/>
            <w:noProof/>
            <w:webHidden/>
          </w:rPr>
          <w:fldChar w:fldCharType="end"/>
        </w:r>
      </w:hyperlink>
    </w:p>
    <w:p w14:paraId="4585E88E" w14:textId="6684701F" w:rsidR="00B77608" w:rsidRPr="00B77608" w:rsidRDefault="00286667">
      <w:pPr>
        <w:pStyle w:val="TOC3"/>
        <w:rPr>
          <w:rFonts w:ascii="Times New Roman" w:hAnsi="Times New Roman"/>
          <w:noProof/>
        </w:rPr>
      </w:pPr>
      <w:hyperlink w:anchor="_Toc55208051" w:history="1">
        <w:r w:rsidR="00B77608" w:rsidRPr="00B77608">
          <w:rPr>
            <w:rStyle w:val="Hyperlink"/>
            <w:rFonts w:ascii="Times New Roman" w:hAnsi="Times New Roman"/>
            <w:noProof/>
          </w:rPr>
          <w:t>б.</w:t>
        </w:r>
        <w:r w:rsidR="00B77608" w:rsidRPr="00B77608">
          <w:rPr>
            <w:rStyle w:val="Hyperlink"/>
            <w:rFonts w:ascii="Times New Roman" w:hAnsi="Times New Roman"/>
            <w:noProof/>
            <w:lang w:val="sr-Latn-RS"/>
          </w:rPr>
          <w:t xml:space="preserve"> </w:t>
        </w:r>
        <w:r w:rsidR="00B77608" w:rsidRPr="00B77608">
          <w:rPr>
            <w:rStyle w:val="Hyperlink"/>
            <w:rFonts w:ascii="Times New Roman" w:hAnsi="Times New Roman"/>
            <w:noProof/>
          </w:rPr>
          <w:t>Индикатори за мерење учинка спровођења Локалне стратегије руралног развоја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_Toc55208051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41</w:t>
        </w:r>
        <w:r w:rsidR="00B77608" w:rsidRPr="00B77608">
          <w:rPr>
            <w:rFonts w:ascii="Times New Roman" w:hAnsi="Times New Roman"/>
            <w:noProof/>
            <w:webHidden/>
          </w:rPr>
          <w:fldChar w:fldCharType="end"/>
        </w:r>
      </w:hyperlink>
    </w:p>
    <w:p w14:paraId="3D377471" w14:textId="5068E8BE" w:rsidR="00B77608" w:rsidRPr="00B77608" w:rsidRDefault="00286667" w:rsidP="00B77608">
      <w:pPr>
        <w:pStyle w:val="TOC2"/>
        <w:rPr>
          <w:rFonts w:ascii="Times New Roman" w:hAnsi="Times New Roman"/>
        </w:rPr>
      </w:pPr>
      <w:hyperlink w:anchor="_Toc55208052" w:history="1">
        <w:r w:rsidR="00B77608" w:rsidRPr="00B77608">
          <w:rPr>
            <w:rStyle w:val="Hyperlink"/>
            <w:rFonts w:ascii="Times New Roman" w:hAnsi="Times New Roman"/>
          </w:rPr>
          <w:t>6.</w:t>
        </w:r>
        <w:r w:rsidR="00B77608" w:rsidRPr="00B77608">
          <w:rPr>
            <w:rFonts w:ascii="Times New Roman" w:hAnsi="Times New Roman"/>
          </w:rPr>
          <w:tab/>
        </w:r>
        <w:r w:rsidR="00B77608" w:rsidRPr="00B77608">
          <w:rPr>
            <w:rStyle w:val="Hyperlink"/>
            <w:rFonts w:ascii="Times New Roman" w:hAnsi="Times New Roman"/>
          </w:rPr>
          <w:t>Опис капацитета за спровођење Локалне стратегије руралног развоја</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_Toc55208052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42</w:t>
        </w:r>
        <w:r w:rsidR="00B77608" w:rsidRPr="00B77608">
          <w:rPr>
            <w:rFonts w:ascii="Times New Roman" w:hAnsi="Times New Roman"/>
            <w:webHidden/>
          </w:rPr>
          <w:fldChar w:fldCharType="end"/>
        </w:r>
      </w:hyperlink>
    </w:p>
    <w:p w14:paraId="137AD943" w14:textId="47BCF4F5" w:rsidR="00B77608" w:rsidRPr="00B77608" w:rsidRDefault="00286667">
      <w:pPr>
        <w:pStyle w:val="TOC3"/>
        <w:rPr>
          <w:rFonts w:ascii="Times New Roman" w:hAnsi="Times New Roman"/>
          <w:noProof/>
        </w:rPr>
      </w:pPr>
      <w:hyperlink w:anchor="_Toc55208053" w:history="1">
        <w:r w:rsidR="00B77608" w:rsidRPr="00B77608">
          <w:rPr>
            <w:rStyle w:val="Hyperlink"/>
            <w:rFonts w:ascii="Times New Roman" w:hAnsi="Times New Roman"/>
            <w:noProof/>
          </w:rPr>
          <w:t>а. Људски капацитет за спровођење Локалне стратегије руралног развоја;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_Toc55208053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42</w:t>
        </w:r>
        <w:r w:rsidR="00B77608" w:rsidRPr="00B77608">
          <w:rPr>
            <w:rFonts w:ascii="Times New Roman" w:hAnsi="Times New Roman"/>
            <w:noProof/>
            <w:webHidden/>
          </w:rPr>
          <w:fldChar w:fldCharType="end"/>
        </w:r>
      </w:hyperlink>
    </w:p>
    <w:p w14:paraId="6AED9A62" w14:textId="0B05AB3B" w:rsidR="00B77608" w:rsidRPr="00B77608" w:rsidRDefault="00286667">
      <w:pPr>
        <w:pStyle w:val="TOC3"/>
        <w:rPr>
          <w:rFonts w:ascii="Times New Roman" w:hAnsi="Times New Roman"/>
          <w:noProof/>
        </w:rPr>
      </w:pPr>
      <w:hyperlink w:anchor="_Toc55208054" w:history="1">
        <w:r w:rsidR="00B77608" w:rsidRPr="00B77608">
          <w:rPr>
            <w:rStyle w:val="Hyperlink"/>
            <w:rFonts w:ascii="Times New Roman" w:hAnsi="Times New Roman"/>
            <w:noProof/>
          </w:rPr>
          <w:t>б. Финансијски капацитет за спровођење Локалне стратегије  руралног развоја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_Toc55208054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44</w:t>
        </w:r>
        <w:r w:rsidR="00B77608" w:rsidRPr="00B77608">
          <w:rPr>
            <w:rFonts w:ascii="Times New Roman" w:hAnsi="Times New Roman"/>
            <w:noProof/>
            <w:webHidden/>
          </w:rPr>
          <w:fldChar w:fldCharType="end"/>
        </w:r>
      </w:hyperlink>
    </w:p>
    <w:p w14:paraId="38488089" w14:textId="5934389A" w:rsidR="00B77608" w:rsidRPr="00B77608" w:rsidRDefault="00286667">
      <w:pPr>
        <w:pStyle w:val="TOC3"/>
        <w:rPr>
          <w:rFonts w:ascii="Times New Roman" w:hAnsi="Times New Roman"/>
          <w:noProof/>
        </w:rPr>
      </w:pPr>
      <w:hyperlink w:anchor="_Toc55208055" w:history="1">
        <w:r w:rsidR="00B77608" w:rsidRPr="00B77608">
          <w:rPr>
            <w:rStyle w:val="Hyperlink"/>
            <w:rFonts w:ascii="Times New Roman" w:hAnsi="Times New Roman"/>
            <w:noProof/>
          </w:rPr>
          <w:t>в. Искуство у спровођењу пројеката</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_Toc55208055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44</w:t>
        </w:r>
        <w:r w:rsidR="00B77608" w:rsidRPr="00B77608">
          <w:rPr>
            <w:rFonts w:ascii="Times New Roman" w:hAnsi="Times New Roman"/>
            <w:noProof/>
            <w:webHidden/>
          </w:rPr>
          <w:fldChar w:fldCharType="end"/>
        </w:r>
      </w:hyperlink>
    </w:p>
    <w:p w14:paraId="5077E701" w14:textId="38AB1190" w:rsidR="00B77608" w:rsidRPr="00B77608" w:rsidRDefault="00286667">
      <w:pPr>
        <w:pStyle w:val="TOC3"/>
        <w:rPr>
          <w:rFonts w:ascii="Times New Roman" w:hAnsi="Times New Roman"/>
          <w:noProof/>
        </w:rPr>
      </w:pPr>
      <w:hyperlink w:anchor="_Toc55208056" w:history="1">
        <w:r w:rsidR="00B77608" w:rsidRPr="00B77608">
          <w:rPr>
            <w:rStyle w:val="Hyperlink"/>
            <w:rFonts w:ascii="Times New Roman" w:hAnsi="Times New Roman"/>
            <w:noProof/>
          </w:rPr>
          <w:t>a) Финансијски план за финансирање пројектних активности</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_Toc55208056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45</w:t>
        </w:r>
        <w:r w:rsidR="00B77608" w:rsidRPr="00B77608">
          <w:rPr>
            <w:rFonts w:ascii="Times New Roman" w:hAnsi="Times New Roman"/>
            <w:noProof/>
            <w:webHidden/>
          </w:rPr>
          <w:fldChar w:fldCharType="end"/>
        </w:r>
      </w:hyperlink>
    </w:p>
    <w:p w14:paraId="22E5E609" w14:textId="747F5CBC" w:rsidR="00B77608" w:rsidRPr="00B77608" w:rsidRDefault="00286667">
      <w:pPr>
        <w:pStyle w:val="TOC3"/>
        <w:rPr>
          <w:rFonts w:ascii="Times New Roman" w:hAnsi="Times New Roman"/>
          <w:noProof/>
        </w:rPr>
      </w:pPr>
      <w:hyperlink w:anchor="_Toc55208057" w:history="1">
        <w:r w:rsidR="00B77608" w:rsidRPr="00B77608">
          <w:rPr>
            <w:rStyle w:val="Hyperlink"/>
            <w:rFonts w:ascii="Times New Roman" w:hAnsi="Times New Roman"/>
            <w:noProof/>
          </w:rPr>
          <w:t xml:space="preserve">б) Финансијски план за финансирање рада канцеларије за три године (2021-2023) </w:t>
        </w:r>
        <w:r w:rsidR="00B77608" w:rsidRPr="00B77608">
          <w:rPr>
            <w:rStyle w:val="Hyperlink"/>
            <w:rFonts w:ascii="Times New Roman" w:eastAsia="Times New Roman" w:hAnsi="Times New Roman"/>
            <w:noProof/>
          </w:rPr>
          <w:t>вредности у таблици су исказане за једну годину</w:t>
        </w:r>
        <w:r w:rsidR="00B77608" w:rsidRPr="00B77608">
          <w:rPr>
            <w:rFonts w:ascii="Times New Roman" w:hAnsi="Times New Roman"/>
            <w:noProof/>
            <w:webHidden/>
          </w:rPr>
          <w:tab/>
        </w:r>
        <w:r w:rsidR="00B77608" w:rsidRPr="00B77608">
          <w:rPr>
            <w:rFonts w:ascii="Times New Roman" w:hAnsi="Times New Roman"/>
            <w:noProof/>
            <w:webHidden/>
          </w:rPr>
          <w:fldChar w:fldCharType="begin"/>
        </w:r>
        <w:r w:rsidR="00B77608" w:rsidRPr="00B77608">
          <w:rPr>
            <w:rFonts w:ascii="Times New Roman" w:hAnsi="Times New Roman"/>
            <w:noProof/>
            <w:webHidden/>
          </w:rPr>
          <w:instrText xml:space="preserve"> PAGEREF _Toc55208057 \h </w:instrText>
        </w:r>
        <w:r w:rsidR="00B77608" w:rsidRPr="00B77608">
          <w:rPr>
            <w:rFonts w:ascii="Times New Roman" w:hAnsi="Times New Roman"/>
            <w:noProof/>
            <w:webHidden/>
          </w:rPr>
        </w:r>
        <w:r w:rsidR="00B77608" w:rsidRPr="00B77608">
          <w:rPr>
            <w:rFonts w:ascii="Times New Roman" w:hAnsi="Times New Roman"/>
            <w:noProof/>
            <w:webHidden/>
          </w:rPr>
          <w:fldChar w:fldCharType="separate"/>
        </w:r>
        <w:r w:rsidR="00947E45">
          <w:rPr>
            <w:rFonts w:ascii="Times New Roman" w:hAnsi="Times New Roman"/>
            <w:noProof/>
            <w:webHidden/>
          </w:rPr>
          <w:t>45</w:t>
        </w:r>
        <w:r w:rsidR="00B77608" w:rsidRPr="00B77608">
          <w:rPr>
            <w:rFonts w:ascii="Times New Roman" w:hAnsi="Times New Roman"/>
            <w:noProof/>
            <w:webHidden/>
          </w:rPr>
          <w:fldChar w:fldCharType="end"/>
        </w:r>
      </w:hyperlink>
    </w:p>
    <w:p w14:paraId="68B6A47C" w14:textId="1FD93C94" w:rsidR="00B77608" w:rsidRPr="00B77608" w:rsidRDefault="00286667">
      <w:pPr>
        <w:pStyle w:val="TOC4"/>
        <w:rPr>
          <w:rFonts w:ascii="Times New Roman" w:eastAsiaTheme="minorEastAsia" w:hAnsi="Times New Roman" w:cs="Times New Roman"/>
          <w:noProof/>
        </w:rPr>
      </w:pPr>
      <w:hyperlink w:anchor="_Toc55208058" w:history="1">
        <w:r w:rsidR="00B77608" w:rsidRPr="00B77608">
          <w:rPr>
            <w:rStyle w:val="Hyperlink"/>
            <w:rFonts w:ascii="Times New Roman" w:hAnsi="Times New Roman" w:cs="Times New Roman"/>
            <w:noProof/>
          </w:rPr>
          <w:t>Укупни финансијски план за реализацију плана ЛСРР – ЛАГ Јастребчанка</w:t>
        </w:r>
        <w:r w:rsidR="00B77608" w:rsidRPr="00B77608">
          <w:rPr>
            <w:rFonts w:ascii="Times New Roman" w:hAnsi="Times New Roman" w:cs="Times New Roman"/>
            <w:noProof/>
            <w:webHidden/>
          </w:rPr>
          <w:tab/>
        </w:r>
        <w:r w:rsidR="00B77608" w:rsidRPr="00B77608">
          <w:rPr>
            <w:rFonts w:ascii="Times New Roman" w:hAnsi="Times New Roman" w:cs="Times New Roman"/>
            <w:noProof/>
            <w:webHidden/>
          </w:rPr>
          <w:fldChar w:fldCharType="begin"/>
        </w:r>
        <w:r w:rsidR="00B77608" w:rsidRPr="00B77608">
          <w:rPr>
            <w:rFonts w:ascii="Times New Roman" w:hAnsi="Times New Roman" w:cs="Times New Roman"/>
            <w:noProof/>
            <w:webHidden/>
          </w:rPr>
          <w:instrText xml:space="preserve"> PAGEREF _Toc55208058 \h </w:instrText>
        </w:r>
        <w:r w:rsidR="00B77608" w:rsidRPr="00B77608">
          <w:rPr>
            <w:rFonts w:ascii="Times New Roman" w:hAnsi="Times New Roman" w:cs="Times New Roman"/>
            <w:noProof/>
            <w:webHidden/>
          </w:rPr>
        </w:r>
        <w:r w:rsidR="00B77608" w:rsidRPr="00B77608">
          <w:rPr>
            <w:rFonts w:ascii="Times New Roman" w:hAnsi="Times New Roman" w:cs="Times New Roman"/>
            <w:noProof/>
            <w:webHidden/>
          </w:rPr>
          <w:fldChar w:fldCharType="separate"/>
        </w:r>
        <w:r w:rsidR="00947E45">
          <w:rPr>
            <w:rFonts w:ascii="Times New Roman" w:hAnsi="Times New Roman" w:cs="Times New Roman"/>
            <w:noProof/>
            <w:webHidden/>
          </w:rPr>
          <w:t>46</w:t>
        </w:r>
        <w:r w:rsidR="00B77608" w:rsidRPr="00B77608">
          <w:rPr>
            <w:rFonts w:ascii="Times New Roman" w:hAnsi="Times New Roman" w:cs="Times New Roman"/>
            <w:noProof/>
            <w:webHidden/>
          </w:rPr>
          <w:fldChar w:fldCharType="end"/>
        </w:r>
      </w:hyperlink>
    </w:p>
    <w:p w14:paraId="41D1123F" w14:textId="08F3438A" w:rsidR="00B77608" w:rsidRPr="00B77608" w:rsidRDefault="00286667" w:rsidP="00B77608">
      <w:pPr>
        <w:pStyle w:val="TOC1"/>
        <w:rPr>
          <w:rFonts w:cstheme="minorBidi"/>
        </w:rPr>
      </w:pPr>
      <w:hyperlink w:anchor="_Toc55208059" w:history="1">
        <w:r w:rsidR="00B77608" w:rsidRPr="00B77608">
          <w:rPr>
            <w:rStyle w:val="Hyperlink"/>
            <w:rFonts w:ascii="Times New Roman" w:hAnsi="Times New Roman"/>
            <w:b w:val="0"/>
            <w:bCs w:val="0"/>
          </w:rPr>
          <w:t>ПРИЛОЗИ</w:t>
        </w:r>
        <w:r w:rsidR="00B77608" w:rsidRPr="00B77608">
          <w:rPr>
            <w:rFonts w:ascii="Times New Roman" w:hAnsi="Times New Roman"/>
            <w:webHidden/>
          </w:rPr>
          <w:tab/>
        </w:r>
        <w:r w:rsidR="00B77608" w:rsidRPr="00B77608">
          <w:rPr>
            <w:rFonts w:ascii="Times New Roman" w:hAnsi="Times New Roman"/>
            <w:webHidden/>
          </w:rPr>
          <w:fldChar w:fldCharType="begin"/>
        </w:r>
        <w:r w:rsidR="00B77608" w:rsidRPr="00B77608">
          <w:rPr>
            <w:rFonts w:ascii="Times New Roman" w:hAnsi="Times New Roman"/>
            <w:webHidden/>
          </w:rPr>
          <w:instrText xml:space="preserve"> PAGEREF _Toc55208059 \h </w:instrText>
        </w:r>
        <w:r w:rsidR="00B77608" w:rsidRPr="00B77608">
          <w:rPr>
            <w:rFonts w:ascii="Times New Roman" w:hAnsi="Times New Roman"/>
            <w:webHidden/>
          </w:rPr>
        </w:r>
        <w:r w:rsidR="00B77608" w:rsidRPr="00B77608">
          <w:rPr>
            <w:rFonts w:ascii="Times New Roman" w:hAnsi="Times New Roman"/>
            <w:webHidden/>
          </w:rPr>
          <w:fldChar w:fldCharType="separate"/>
        </w:r>
        <w:r w:rsidR="00947E45">
          <w:rPr>
            <w:rFonts w:ascii="Times New Roman" w:hAnsi="Times New Roman"/>
            <w:webHidden/>
          </w:rPr>
          <w:t>47</w:t>
        </w:r>
        <w:r w:rsidR="00B77608" w:rsidRPr="00B77608">
          <w:rPr>
            <w:rFonts w:ascii="Times New Roman" w:hAnsi="Times New Roman"/>
            <w:webHidden/>
          </w:rPr>
          <w:fldChar w:fldCharType="end"/>
        </w:r>
      </w:hyperlink>
    </w:p>
    <w:p w14:paraId="74590DC5" w14:textId="0CB5D5A1" w:rsidR="00FD0D21" w:rsidRDefault="00C245D6" w:rsidP="00FD0D21">
      <w:pPr>
        <w:spacing w:after="0" w:line="240" w:lineRule="auto"/>
        <w:rPr>
          <w:rFonts w:ascii="Times New Roman" w:hAnsi="Times New Roman" w:cs="Times New Roman"/>
          <w:sz w:val="28"/>
          <w:szCs w:val="28"/>
          <w:lang w:val="sr-Cyrl-RS"/>
        </w:rPr>
      </w:pPr>
      <w:r>
        <w:rPr>
          <w:rFonts w:ascii="Times New Roman" w:hAnsi="Times New Roman" w:cs="Times New Roman"/>
          <w:sz w:val="28"/>
          <w:szCs w:val="28"/>
          <w:lang w:val="sr-Cyrl-RS"/>
        </w:rPr>
        <w:fldChar w:fldCharType="end"/>
      </w:r>
    </w:p>
    <w:p w14:paraId="13E1E8B2" w14:textId="5CA8C00A" w:rsidR="00FD0D21" w:rsidRDefault="00FD0D21" w:rsidP="00FD0D21">
      <w:pPr>
        <w:spacing w:after="0" w:line="240" w:lineRule="auto"/>
        <w:rPr>
          <w:rFonts w:ascii="Times New Roman" w:hAnsi="Times New Roman" w:cs="Times New Roman"/>
          <w:sz w:val="28"/>
          <w:szCs w:val="28"/>
          <w:lang w:val="sr-Cyrl-RS"/>
        </w:rPr>
      </w:pPr>
    </w:p>
    <w:p w14:paraId="50DC357F" w14:textId="1B6CB3C7" w:rsidR="00FD0D21" w:rsidRDefault="00FD0D21">
      <w:pPr>
        <w:rPr>
          <w:rFonts w:ascii="Times New Roman" w:hAnsi="Times New Roman" w:cs="Times New Roman"/>
          <w:sz w:val="28"/>
          <w:szCs w:val="28"/>
          <w:lang w:val="sr-Cyrl-RS"/>
        </w:rPr>
      </w:pPr>
      <w:r>
        <w:rPr>
          <w:rFonts w:ascii="Times New Roman" w:hAnsi="Times New Roman" w:cs="Times New Roman"/>
          <w:sz w:val="28"/>
          <w:szCs w:val="28"/>
          <w:lang w:val="sr-Cyrl-RS"/>
        </w:rPr>
        <w:br w:type="page"/>
      </w:r>
    </w:p>
    <w:p w14:paraId="1311753E" w14:textId="77777777" w:rsidR="001E1F03" w:rsidRPr="001E1F03" w:rsidRDefault="001E1F03" w:rsidP="001E1F03">
      <w:pPr>
        <w:pStyle w:val="-10"/>
      </w:pPr>
      <w:bookmarkStart w:id="1" w:name="_Toc55040772"/>
      <w:bookmarkStart w:id="2" w:name="_Toc55208017"/>
      <w:r w:rsidRPr="001E1F03">
        <w:lastRenderedPageBreak/>
        <w:t>Листа скраћеница</w:t>
      </w:r>
      <w:bookmarkEnd w:id="1"/>
      <w:bookmarkEnd w:id="2"/>
    </w:p>
    <w:p w14:paraId="4A35F5EA" w14:textId="77777777" w:rsid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 xml:space="preserve">ЛАГ </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Локална акциона група</w:t>
      </w:r>
    </w:p>
    <w:p w14:paraId="6029AE43" w14:textId="7E110FAE"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ЛСРР</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Локална стратегија руралног развоја</w:t>
      </w:r>
    </w:p>
    <w:p w14:paraId="3A0F1D67" w14:textId="678C1F57"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РЗС</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Републички завод за статистику</w:t>
      </w:r>
    </w:p>
    <w:p w14:paraId="70E7C2D2" w14:textId="26B6D54D" w:rsidR="001E1F03" w:rsidRPr="00874DE8" w:rsidRDefault="00874DE8" w:rsidP="003A23F7">
      <w:pPr>
        <w:tabs>
          <w:tab w:val="left" w:pos="1701"/>
        </w:tabs>
        <w:spacing w:after="0" w:line="240" w:lineRule="auto"/>
        <w:ind w:left="1701" w:hanging="1134"/>
        <w:rPr>
          <w:rFonts w:ascii="Times New Roman" w:hAnsi="Times New Roman" w:cs="Times New Roman"/>
          <w:sz w:val="24"/>
          <w:szCs w:val="24"/>
          <w:lang w:val="sr-Cyrl-RS"/>
        </w:rPr>
      </w:pPr>
      <w:r>
        <w:rPr>
          <w:rFonts w:ascii="Times New Roman" w:hAnsi="Times New Roman" w:cs="Times New Roman"/>
          <w:sz w:val="24"/>
          <w:szCs w:val="24"/>
          <w:lang w:val="sr-Cyrl-RS"/>
        </w:rPr>
        <w:t>м</w:t>
      </w:r>
      <w:r w:rsidR="001E1F03" w:rsidRPr="00874DE8">
        <w:rPr>
          <w:rFonts w:ascii="Times New Roman" w:hAnsi="Times New Roman" w:cs="Times New Roman"/>
          <w:sz w:val="24"/>
          <w:szCs w:val="24"/>
          <w:lang w:val="sr-Cyrl-RS"/>
        </w:rPr>
        <w:t>нв</w:t>
      </w:r>
      <w:r>
        <w:rPr>
          <w:rFonts w:ascii="Times New Roman" w:hAnsi="Times New Roman" w:cs="Times New Roman"/>
          <w:sz w:val="24"/>
          <w:szCs w:val="24"/>
          <w:lang w:val="sr-Cyrl-RS"/>
        </w:rPr>
        <w:tab/>
      </w:r>
      <w:r w:rsidR="001E1F03" w:rsidRPr="00874DE8">
        <w:rPr>
          <w:rFonts w:ascii="Times New Roman" w:hAnsi="Times New Roman" w:cs="Times New Roman"/>
          <w:sz w:val="24"/>
          <w:szCs w:val="24"/>
          <w:lang w:val="sr-Cyrl-RS"/>
        </w:rPr>
        <w:t>метара надморске висине</w:t>
      </w:r>
    </w:p>
    <w:p w14:paraId="0629DA4B" w14:textId="42693974"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ПСС</w:t>
      </w:r>
      <w:r w:rsidR="00874DE8">
        <w:rPr>
          <w:rFonts w:ascii="Times New Roman" w:hAnsi="Times New Roman" w:cs="Times New Roman"/>
          <w:sz w:val="24"/>
          <w:szCs w:val="24"/>
          <w:lang w:val="sr-Cyrl-RS"/>
        </w:rPr>
        <w:tab/>
        <w:t>П</w:t>
      </w:r>
      <w:r w:rsidRPr="00874DE8">
        <w:rPr>
          <w:rFonts w:ascii="Times New Roman" w:hAnsi="Times New Roman" w:cs="Times New Roman"/>
          <w:sz w:val="24"/>
          <w:szCs w:val="24"/>
          <w:lang w:val="sr-Cyrl-RS"/>
        </w:rPr>
        <w:t>ољоприврдна стручна служба</w:t>
      </w:r>
    </w:p>
    <w:p w14:paraId="0EA82739" w14:textId="6C9FBF61"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НЗС</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Национална служба за запошљавање</w:t>
      </w:r>
    </w:p>
    <w:p w14:paraId="63F55D1E" w14:textId="795AC208"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ОУ</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Општинска управа</w:t>
      </w:r>
    </w:p>
    <w:p w14:paraId="57023691" w14:textId="1A1FFA2A"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ЕУ</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Европска унија</w:t>
      </w:r>
    </w:p>
    <w:p w14:paraId="56E390DF" w14:textId="4B70818E" w:rsidR="001E1F03"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ЛИДЕР</w:t>
      </w:r>
      <w:r w:rsidR="003A23F7">
        <w:rPr>
          <w:rFonts w:ascii="Times New Roman" w:hAnsi="Times New Roman" w:cs="Times New Roman"/>
          <w:sz w:val="24"/>
          <w:szCs w:val="24"/>
          <w:lang w:val="sr-Latn-RS"/>
        </w:rPr>
        <w:t xml:space="preserve"> </w:t>
      </w:r>
      <w:r w:rsidRPr="00874DE8">
        <w:rPr>
          <w:rFonts w:ascii="Times New Roman" w:hAnsi="Times New Roman" w:cs="Times New Roman"/>
          <w:sz w:val="24"/>
          <w:szCs w:val="24"/>
          <w:lang w:val="sr-Cyrl-RS"/>
        </w:rPr>
        <w:t>(LEADER)</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 xml:space="preserve">Liaison entre actions de développement de l'économie rurale (срп. </w:t>
      </w:r>
      <w:r w:rsidR="00874DE8" w:rsidRPr="00874DE8">
        <w:rPr>
          <w:rFonts w:ascii="Times New Roman" w:hAnsi="Times New Roman" w:cs="Times New Roman"/>
          <w:sz w:val="24"/>
          <w:szCs w:val="24"/>
          <w:lang w:val="sr-Cyrl-RS"/>
        </w:rPr>
        <w:t>В</w:t>
      </w:r>
      <w:r w:rsidRPr="00874DE8">
        <w:rPr>
          <w:rFonts w:ascii="Times New Roman" w:hAnsi="Times New Roman" w:cs="Times New Roman"/>
          <w:sz w:val="24"/>
          <w:szCs w:val="24"/>
          <w:lang w:val="sr-Cyrl-RS"/>
        </w:rPr>
        <w:t>еза</w:t>
      </w:r>
      <w:r w:rsidR="00874DE8">
        <w:rPr>
          <w:rFonts w:ascii="Times New Roman" w:hAnsi="Times New Roman" w:cs="Times New Roman"/>
          <w:sz w:val="24"/>
          <w:szCs w:val="24"/>
          <w:lang w:val="sr-Cyrl-RS"/>
        </w:rPr>
        <w:t xml:space="preserve"> </w:t>
      </w:r>
      <w:r w:rsidRPr="00874DE8">
        <w:rPr>
          <w:rFonts w:ascii="Times New Roman" w:hAnsi="Times New Roman" w:cs="Times New Roman"/>
          <w:sz w:val="24"/>
          <w:szCs w:val="24"/>
          <w:lang w:val="sr-Cyrl-RS"/>
        </w:rPr>
        <w:t>између активности за развој руралне економије)</w:t>
      </w:r>
    </w:p>
    <w:p w14:paraId="343993AA" w14:textId="3B9C0B63" w:rsidR="00FD0D21" w:rsidRPr="00874DE8" w:rsidRDefault="001E1F03" w:rsidP="003A23F7">
      <w:pPr>
        <w:tabs>
          <w:tab w:val="left" w:pos="1701"/>
        </w:tabs>
        <w:spacing w:after="0" w:line="240" w:lineRule="auto"/>
        <w:ind w:left="1701" w:hanging="1134"/>
        <w:rPr>
          <w:rFonts w:ascii="Times New Roman" w:hAnsi="Times New Roman" w:cs="Times New Roman"/>
          <w:sz w:val="24"/>
          <w:szCs w:val="24"/>
          <w:lang w:val="sr-Cyrl-RS"/>
        </w:rPr>
      </w:pPr>
      <w:r w:rsidRPr="00874DE8">
        <w:rPr>
          <w:rFonts w:ascii="Times New Roman" w:hAnsi="Times New Roman" w:cs="Times New Roman"/>
          <w:sz w:val="24"/>
          <w:szCs w:val="24"/>
          <w:lang w:val="sr-Cyrl-RS"/>
        </w:rPr>
        <w:t>РСЈП</w:t>
      </w:r>
      <w:r w:rsidR="00874DE8">
        <w:rPr>
          <w:rFonts w:ascii="Times New Roman" w:hAnsi="Times New Roman" w:cs="Times New Roman"/>
          <w:sz w:val="24"/>
          <w:szCs w:val="24"/>
          <w:lang w:val="sr-Cyrl-RS"/>
        </w:rPr>
        <w:tab/>
      </w:r>
      <w:r w:rsidRPr="00874DE8">
        <w:rPr>
          <w:rFonts w:ascii="Times New Roman" w:hAnsi="Times New Roman" w:cs="Times New Roman"/>
          <w:sz w:val="24"/>
          <w:szCs w:val="24"/>
          <w:lang w:val="sr-Cyrl-RS"/>
        </w:rPr>
        <w:t>Републички секретаријат за јавне политике</w:t>
      </w:r>
    </w:p>
    <w:p w14:paraId="4A9894FC" w14:textId="5B9FABC8" w:rsidR="00FD0D21" w:rsidRDefault="00FD0D21" w:rsidP="00FD0D21">
      <w:pPr>
        <w:spacing w:after="0" w:line="240" w:lineRule="auto"/>
        <w:rPr>
          <w:rFonts w:ascii="Times New Roman" w:hAnsi="Times New Roman" w:cs="Times New Roman"/>
          <w:sz w:val="28"/>
          <w:szCs w:val="28"/>
          <w:lang w:val="sr-Cyrl-RS"/>
        </w:rPr>
      </w:pPr>
    </w:p>
    <w:p w14:paraId="6B6AC8F9" w14:textId="7AACF882" w:rsidR="00874DE8" w:rsidRDefault="00874DE8">
      <w:pPr>
        <w:rPr>
          <w:rFonts w:ascii="Times New Roman" w:hAnsi="Times New Roman" w:cs="Times New Roman"/>
          <w:sz w:val="28"/>
          <w:szCs w:val="28"/>
          <w:lang w:val="sr-Cyrl-RS"/>
        </w:rPr>
      </w:pPr>
      <w:r>
        <w:rPr>
          <w:rFonts w:ascii="Times New Roman" w:hAnsi="Times New Roman" w:cs="Times New Roman"/>
          <w:sz w:val="28"/>
          <w:szCs w:val="28"/>
          <w:lang w:val="sr-Cyrl-RS"/>
        </w:rPr>
        <w:br w:type="page"/>
      </w:r>
    </w:p>
    <w:p w14:paraId="58C67D66" w14:textId="5DB8637B" w:rsidR="00874DE8" w:rsidRPr="00874DE8" w:rsidRDefault="00874DE8" w:rsidP="00874DE8">
      <w:pPr>
        <w:pStyle w:val="-10"/>
      </w:pPr>
      <w:bookmarkStart w:id="3" w:name="_Toc55040773"/>
      <w:bookmarkStart w:id="4" w:name="_Toc55208018"/>
      <w:r>
        <w:lastRenderedPageBreak/>
        <w:t>Увод</w:t>
      </w:r>
      <w:bookmarkEnd w:id="3"/>
      <w:bookmarkEnd w:id="4"/>
    </w:p>
    <w:p w14:paraId="47DA0B47" w14:textId="77777777" w:rsidR="004F3063" w:rsidRDefault="004F3063" w:rsidP="004F3063">
      <w:pPr>
        <w:pStyle w:val="Tekst-1"/>
      </w:pPr>
      <w:r>
        <w:t>Политика руралног развоја је политика која за циљ има да пружи помоћ руралним подручјима да ефективно и ефикасно искористе свој територијални капитал са циљем унапређења сопствене конкурентности. Имајући у виду то да основу руралног развоја чини територијална кохезија, која изграђује и развија кохезију у економском и социјалном контексту, сама територијална различитост је кључни потенцијал који је неопходно континуирано развијати. Велики део становништва живи у руралним подручјима, на основу чега закључујемо да пољопривреда заузима важно место у привреди сваке земље.</w:t>
      </w:r>
    </w:p>
    <w:p w14:paraId="3390F8A8" w14:textId="26D05993" w:rsidR="004F3063" w:rsidRDefault="004F3063" w:rsidP="00E22FAE">
      <w:pPr>
        <w:pStyle w:val="Tekst-1"/>
      </w:pPr>
      <w:r>
        <w:t>Према статистичким подацима, око 57 % становништва ЕУ живи у руралним подручјима, која обухватају преко 90 одсто територије ЕУ, док у Републици Србији рурално становништво чини око 40,6 одсто укупног становништва, настањено на око 80 одсто територије, у оквиру око 5.900 сеоских насеља, и у сталном је опадању. Потреба да се ова подручја направе пријатним за живот, доступним за рад, одржана је до данас, са интенцијом да се становништво у њима задржи. С друге стране, у руралним подручјима се, осим значајних људских ресурса, налази и већина природних ресурса земље (пољопривредног земљишта, шума, вода), са изузетно богатим екосистемима и биодиверзитетом, као и привредне делатности, културно и историјско наслеђе.</w:t>
      </w:r>
    </w:p>
    <w:p w14:paraId="602CF0CD" w14:textId="0CDEE1EE" w:rsidR="002F081B" w:rsidRDefault="004F3063" w:rsidP="004F3063">
      <w:pPr>
        <w:pStyle w:val="Tekst-1"/>
      </w:pPr>
      <w:r>
        <w:t xml:space="preserve">Политика руралног развоја у ЕУ, дала је локалним самоуправама централну улогу у одређивању развојних потреба, приоритетних циљева и програма сваке јединице локалне самоуправе, које ће се подстицати и финансирати, у оквиру подстицајних програма и фондова са различитих нивоа. </w:t>
      </w:r>
      <w:r w:rsidR="002F081B" w:rsidRPr="00E22FAE">
        <w:t>Од 1991. године Европска унија као основни принцип за приступање структурним фондовима развија примену специфичне методологије руралног развоја под називом LEADER приступ, а кроз наведену иницијативу финансира различите активности локалних заједница.</w:t>
      </w:r>
    </w:p>
    <w:p w14:paraId="682C8F4F" w14:textId="386EC741" w:rsidR="00E22FAE" w:rsidRDefault="004F3063" w:rsidP="002F081B">
      <w:pPr>
        <w:pStyle w:val="Tekst-1"/>
      </w:pPr>
      <w:r>
        <w:t>ЛИДЕР подстиче руралне територије на истраживање нових путева, да постану или остану конкурентне, да искористе расположива средства и да превазиђу потенцијалне изазове. Реч је о инструменту руралног развоја који се заснива на имплементацији руралних стратегија, којима управљају ЛАГ-ови (Локалне акционе групе).</w:t>
      </w:r>
    </w:p>
    <w:p w14:paraId="2F9DED6D" w14:textId="0295436A" w:rsidR="00E22FAE" w:rsidRDefault="00E22FAE" w:rsidP="00874DE8">
      <w:pPr>
        <w:pStyle w:val="Tekst-1"/>
      </w:pPr>
      <w:r w:rsidRPr="00E22FAE">
        <w:t>Стицањем статуса кандидата за чланство у ЕУ од марта 2012. године Република Србија мења своја дотадашња права и обавезе у процесу придруживања ЕУ. Између осталог, нова улога Републике Србије значајно мења апсорпцију фондова ЕУ и финансијске могућности које постоје за приватни, јавни и цивилни сектор, отварањем ИПАРД-а – програма претпристуне помоћи за рурални развој.</w:t>
      </w:r>
    </w:p>
    <w:p w14:paraId="3347EE8F" w14:textId="7B0E7170" w:rsidR="004F3063" w:rsidRDefault="004F3063" w:rsidP="004F3063">
      <w:pPr>
        <w:pStyle w:val="Tekst-1"/>
      </w:pPr>
      <w:r w:rsidRPr="00E22FAE">
        <w:t xml:space="preserve">Локална акциона група Јастребчанка </w:t>
      </w:r>
      <w:r>
        <w:t xml:space="preserve">(у даљем тексту: ЛАГ) </w:t>
      </w:r>
      <w:r w:rsidRPr="00E22FAE">
        <w:t xml:space="preserve">представља партнерство између јавног, цивилног и приватног сектора на подручју целе </w:t>
      </w:r>
      <w:r>
        <w:t>о</w:t>
      </w:r>
      <w:r w:rsidRPr="00E22FAE">
        <w:t>пштине Блаце и дела подручја града Прокупље.</w:t>
      </w:r>
    </w:p>
    <w:p w14:paraId="742D9831" w14:textId="77777777" w:rsidR="004F3063" w:rsidRDefault="00E22FAE" w:rsidP="00874DE8">
      <w:pPr>
        <w:pStyle w:val="Tekst-1"/>
      </w:pPr>
      <w:r w:rsidRPr="00E22FAE">
        <w:t>Због горе</w:t>
      </w:r>
      <w:r>
        <w:t xml:space="preserve"> </w:t>
      </w:r>
      <w:r w:rsidRPr="00E22FAE">
        <w:t xml:space="preserve">наведеног, представници пословног и цивилног сектора са подручја општине Блаце и града Прокупље, донели су одлуку о анимирању локалних актера са циљем формирања и изградње капацитета ЛАГ-а која би у складу са основним LEADER принципима дао допринос развоју локалне заједнице. Локалне самоуправе Блаце и Прокупље, на иницијативу и у разговору са кључним локалним актерима са подручја, донели су одлуку да пруже помоћ процесу формирања Локалне акционе </w:t>
      </w:r>
      <w:r w:rsidRPr="00E22FAE">
        <w:lastRenderedPageBreak/>
        <w:t>групе која покрива подручје свих насеља општине Блаце и дела насеља града Прокупље, у складу са LEADER иницијативом.</w:t>
      </w:r>
    </w:p>
    <w:p w14:paraId="05B7589E" w14:textId="77777777" w:rsidR="004F3063" w:rsidRDefault="00E22FAE" w:rsidP="00874DE8">
      <w:pPr>
        <w:pStyle w:val="Tekst-1"/>
      </w:pPr>
      <w:r w:rsidRPr="00E22FAE">
        <w:t>ЛАГ „Јастребчанка“</w:t>
      </w:r>
      <w:r w:rsidR="004F3063">
        <w:t xml:space="preserve"> </w:t>
      </w:r>
      <w:r w:rsidRPr="00E22FAE">
        <w:t>настала је кроз вишемесечни процес који је обухватао активности информисања целокупне заједнице, анимирања и мобилизације кључних локалних актера из приватног, цивилног и јавног сектора. Од октобра 2019. године до октобра 2020. године одржани су састанци, едукативни програми и радионице са кључним локалним актерима из сва три сектора, а обрађиване су теме које се, поред саме организације и функционисања ЛАГ-а, односе и на LEADER програм, заједничку пољопривредну политику ЕУ, ИПАРД, међуопштинску сарадњу и територијалну кохезију, појмове руралног и регионалног развоја. Током информативно</w:t>
      </w:r>
      <w:r w:rsidR="004F3063">
        <w:t xml:space="preserve"> – </w:t>
      </w:r>
      <w:r w:rsidRPr="00E22FAE">
        <w:t xml:space="preserve">едукативног процеса, искристалисала се група од око 120 актера из сва три сектора која представља иницијативни одбор заслужан за покретање процеса формирања ЛАГ-а. Општина Блаце и град Прокупље историјски посматрано има пре свега исту традицију и сличан развојни правац, базиран на великим пољопривредним </w:t>
      </w:r>
      <w:r w:rsidR="004F3063">
        <w:t xml:space="preserve">потенцијалима и </w:t>
      </w:r>
      <w:r w:rsidRPr="00E22FAE">
        <w:t>капацитетима</w:t>
      </w:r>
      <w:r w:rsidR="004F3063">
        <w:t>,</w:t>
      </w:r>
      <w:r w:rsidRPr="00E22FAE">
        <w:t xml:space="preserve"> </w:t>
      </w:r>
      <w:r w:rsidR="004F3063">
        <w:t xml:space="preserve">али </w:t>
      </w:r>
      <w:r w:rsidRPr="00E22FAE">
        <w:t>и богатој историји.</w:t>
      </w:r>
    </w:p>
    <w:p w14:paraId="7AC57478" w14:textId="00542A85" w:rsidR="004F3063" w:rsidRDefault="00E22FAE" w:rsidP="00874DE8">
      <w:pPr>
        <w:pStyle w:val="Tekst-1"/>
      </w:pPr>
      <w:r w:rsidRPr="00E22FAE">
        <w:t>Процес израде ЛСРР, ЛАГ „Јастребчанка“ засн</w:t>
      </w:r>
      <w:r w:rsidR="004F3063">
        <w:t>овала је</w:t>
      </w:r>
      <w:r w:rsidRPr="00E22FAE">
        <w:t xml:space="preserve"> на принципу одржавања радних састанака свих кључних локалних актера из сва три наведена сектора. Тим је најпре радио на прикупљању података и припреми ситуационе анализе, изради SWOT анализе, а затим се кроз радионице дошло до усвајања визије, као и дефинисања стратешких праваца развоја. Сви учесници су кроз раније формулисан образац изнели своје предлоге пројеката, са акцентом на оне који имају мултисекторски и иновативан ефекат, а тим је на радним састанцима пројектне предлоге анализирао и припремао за делегирање у оквиру листе пројеката које се налазе у поглављу 5.</w:t>
      </w:r>
    </w:p>
    <w:p w14:paraId="639D774F" w14:textId="32A318B8" w:rsidR="004F3063" w:rsidRDefault="00E22FAE" w:rsidP="00874DE8">
      <w:pPr>
        <w:pStyle w:val="Tekst-1"/>
      </w:pPr>
      <w:r w:rsidRPr="00E22FAE">
        <w:t>ЛСРР подручја које покрива ЛАГ „Јастребчанка“ представља скуп циљева, приоритета, програма и развојних мера у циљу унапређења економског развоја подручја и развоја друштвене инфраструктуре базиране на принципима одрживог развоја са циљем унапређења квалитета живота људи у руралном подручју које покрива ЛАГ.</w:t>
      </w:r>
    </w:p>
    <w:p w14:paraId="35F81673" w14:textId="1BF6E2B6" w:rsidR="002F081B" w:rsidRDefault="002F081B" w:rsidP="002F081B">
      <w:pPr>
        <w:pStyle w:val="Tekst-1"/>
      </w:pPr>
      <w:r>
        <w:t>Временски период од три године, ЛАГ „Јастребчанка“ је препознала као период у којем се могу предузети мере за што бољим прилагођавањем актуелним трендовима у привреди, усклађене са смерницама дефинисане кроз стратешки оквир Европске уније и стратешка документа вишег реда Републике Србије.</w:t>
      </w:r>
    </w:p>
    <w:p w14:paraId="24CDC842" w14:textId="46A2838C" w:rsidR="00874DE8" w:rsidRDefault="00E22FAE" w:rsidP="00874DE8">
      <w:pPr>
        <w:pStyle w:val="Tekst-1"/>
      </w:pPr>
      <w:r w:rsidRPr="00E22FAE">
        <w:t>Кроз ЛСРР јасно је дефинисано стање подручја, са свим његовим карактеристикама и ресурсима значајним за развој свих сектора. Локална стратегија руралног развоја за период 2020-2023. године усвојена је седници Скупштине општине Блаце дана __________ и седници Скупштине града Прокупље ___________.</w:t>
      </w:r>
    </w:p>
    <w:p w14:paraId="4A7A6E2C" w14:textId="55E17336" w:rsidR="00DE4333" w:rsidRDefault="00DE4333">
      <w:pPr>
        <w:rPr>
          <w:rFonts w:ascii="Times New Roman" w:hAnsi="Times New Roman" w:cs="Times New Roman"/>
          <w:sz w:val="28"/>
          <w:szCs w:val="28"/>
          <w:lang w:val="sr-Cyrl-RS"/>
        </w:rPr>
      </w:pPr>
      <w:r>
        <w:br w:type="page"/>
      </w:r>
    </w:p>
    <w:p w14:paraId="450DC7AB" w14:textId="15C95EA5" w:rsidR="00DE4333" w:rsidRDefault="00DE4333" w:rsidP="006767C3">
      <w:pPr>
        <w:pStyle w:val="-1"/>
      </w:pPr>
      <w:bookmarkStart w:id="5" w:name="_Toc55208019"/>
      <w:r>
        <w:lastRenderedPageBreak/>
        <w:t xml:space="preserve">Дефиниција </w:t>
      </w:r>
      <w:r w:rsidRPr="006767C3">
        <w:t>подручја</w:t>
      </w:r>
      <w:r>
        <w:t xml:space="preserve"> и популације обухваћене Локалном стратегијом руралног развоја ЛАГ „Јастребачка”</w:t>
      </w:r>
      <w:bookmarkEnd w:id="5"/>
    </w:p>
    <w:p w14:paraId="6940A2A0" w14:textId="0166FD23" w:rsidR="00DE4333" w:rsidRDefault="003856CF" w:rsidP="006767C3">
      <w:pPr>
        <w:pStyle w:val="-2"/>
      </w:pPr>
      <w:bookmarkStart w:id="6" w:name="_Toc55208020"/>
      <w:r>
        <w:t>а</w:t>
      </w:r>
      <w:r w:rsidR="00384070">
        <w:t>) О</w:t>
      </w:r>
      <w:r w:rsidR="00DE4333">
        <w:t xml:space="preserve">пште географске и </w:t>
      </w:r>
      <w:r w:rsidR="00DE4333" w:rsidRPr="006767C3">
        <w:t>административне</w:t>
      </w:r>
      <w:r w:rsidR="00DE4333">
        <w:t xml:space="preserve"> карактеристике подручја, културна, историјска и природна баштина</w:t>
      </w:r>
      <w:bookmarkEnd w:id="6"/>
    </w:p>
    <w:p w14:paraId="1584F51B" w14:textId="7C099338" w:rsidR="0030601B" w:rsidRDefault="0030601B" w:rsidP="00306AFE">
      <w:pPr>
        <w:pStyle w:val="Tekst-1"/>
        <w:rPr>
          <w:lang w:val="sr-Latn-RS"/>
        </w:rPr>
      </w:pPr>
      <w:r>
        <w:t>Подручје Локалне акционе групе Јастребчанка</w:t>
      </w:r>
      <w:r w:rsidR="00306AFE" w:rsidRPr="00306AFE">
        <w:rPr>
          <w:lang w:val="sr-Latn-RS"/>
        </w:rPr>
        <w:t xml:space="preserve"> </w:t>
      </w:r>
      <w:r w:rsidR="006F14A0">
        <w:t xml:space="preserve">(у даљем тексту: ЛАГ) </w:t>
      </w:r>
      <w:r w:rsidR="00306AFE" w:rsidRPr="00306AFE">
        <w:rPr>
          <w:lang w:val="sr-Latn-RS"/>
        </w:rPr>
        <w:t>је смештена у Топличкој котлини, на источним обронцима Копаоника и југозападним обронцима Јастре</w:t>
      </w:r>
      <w:r>
        <w:t>п</w:t>
      </w:r>
      <w:r w:rsidR="00306AFE" w:rsidRPr="00306AFE">
        <w:rPr>
          <w:lang w:val="sr-Latn-RS"/>
        </w:rPr>
        <w:t>ца, захватајући</w:t>
      </w:r>
      <w:r>
        <w:t xml:space="preserve"> </w:t>
      </w:r>
      <w:r w:rsidR="00306AFE" w:rsidRPr="00306AFE">
        <w:rPr>
          <w:lang w:val="sr-Latn-RS"/>
        </w:rPr>
        <w:t xml:space="preserve">северозападни део Топличког </w:t>
      </w:r>
      <w:r w:rsidR="00306AFE" w:rsidRPr="00306AFE">
        <w:t>басена</w:t>
      </w:r>
      <w:r w:rsidR="00306AFE" w:rsidRPr="00306AFE">
        <w:rPr>
          <w:lang w:val="sr-Latn-RS"/>
        </w:rPr>
        <w:t xml:space="preserve"> који је Јанковом клисуром спојен са долином Расине, односно Крушевачким басеном. </w:t>
      </w:r>
      <w:r w:rsidR="00C35849">
        <w:rPr>
          <w:lang w:val="sr-Latn-RS"/>
        </w:rPr>
        <w:t xml:space="preserve">ЛАГ </w:t>
      </w:r>
      <w:r w:rsidRPr="0030601B">
        <w:rPr>
          <w:lang w:val="sr-Latn-RS"/>
        </w:rPr>
        <w:t xml:space="preserve"> обухвата територију дв</w:t>
      </w:r>
      <w:r w:rsidR="00C35849">
        <w:rPr>
          <w:lang w:val="sr-Latn-RS"/>
        </w:rPr>
        <w:t xml:space="preserve">е јединице локалне самоуправе  </w:t>
      </w:r>
      <w:r w:rsidR="00C35849">
        <w:t xml:space="preserve">и то део руралне територије Града </w:t>
      </w:r>
      <w:r>
        <w:t>Прокупља</w:t>
      </w:r>
      <w:r w:rsidRPr="0030601B">
        <w:rPr>
          <w:lang w:val="sr-Latn-RS"/>
        </w:rPr>
        <w:t xml:space="preserve"> и</w:t>
      </w:r>
      <w:r>
        <w:t xml:space="preserve"> </w:t>
      </w:r>
      <w:r w:rsidR="00C35849">
        <w:t>Општину Блаце</w:t>
      </w:r>
      <w:r w:rsidRPr="0030601B">
        <w:rPr>
          <w:lang w:val="sr-Latn-RS"/>
        </w:rPr>
        <w:t>.</w:t>
      </w:r>
    </w:p>
    <w:p w14:paraId="31B1C4B8" w14:textId="2057F077" w:rsidR="00306AFE" w:rsidRPr="00306AFE" w:rsidRDefault="00306AFE" w:rsidP="00306AFE">
      <w:pPr>
        <w:pStyle w:val="Tekst-1"/>
        <w:rPr>
          <w:lang w:val="sr-Latn-RS"/>
        </w:rPr>
      </w:pPr>
      <w:r w:rsidRPr="00306AFE">
        <w:rPr>
          <w:lang w:val="sr-Latn-RS"/>
        </w:rPr>
        <w:t xml:space="preserve">Иако има периферан инфраструктурни карактер у односу на главне магистралне коридоре, </w:t>
      </w:r>
      <w:r w:rsidR="0030601B">
        <w:t xml:space="preserve">територије ЛАГ-а </w:t>
      </w:r>
      <w:r w:rsidRPr="00306AFE">
        <w:rPr>
          <w:lang w:val="sr-Latn-RS"/>
        </w:rPr>
        <w:t>чини раскрсницу путева према Косову и Метохији, Копаонику, Крушевцу и Прокупљу, што представља повољан транзитни положај.</w:t>
      </w:r>
    </w:p>
    <w:p w14:paraId="20A74AD3" w14:textId="77777777" w:rsidR="00C95FA7" w:rsidRDefault="0030601B" w:rsidP="00306AFE">
      <w:pPr>
        <w:pStyle w:val="Tekst-1"/>
        <w:rPr>
          <w:lang w:val="sr-Latn-RS"/>
        </w:rPr>
      </w:pPr>
      <w:r>
        <w:t xml:space="preserve">Кроз подручје које покрива </w:t>
      </w:r>
      <w:r w:rsidR="00827E1E">
        <w:t xml:space="preserve">пролази </w:t>
      </w:r>
      <w:r w:rsidR="00306AFE" w:rsidRPr="00306AFE">
        <w:rPr>
          <w:lang w:val="sr-Latn-RS"/>
        </w:rPr>
        <w:t>Топличк</w:t>
      </w:r>
      <w:r w:rsidR="00827E1E">
        <w:t>а</w:t>
      </w:r>
      <w:r w:rsidR="00306AFE" w:rsidRPr="00306AFE">
        <w:rPr>
          <w:lang w:val="sr-Latn-RS"/>
        </w:rPr>
        <w:t xml:space="preserve"> магистрал</w:t>
      </w:r>
      <w:r w:rsidR="00827E1E">
        <w:t>а</w:t>
      </w:r>
      <w:r w:rsidR="00306AFE" w:rsidRPr="00306AFE">
        <w:rPr>
          <w:lang w:val="sr-Latn-RS"/>
        </w:rPr>
        <w:t xml:space="preserve">. </w:t>
      </w:r>
    </w:p>
    <w:p w14:paraId="55138E1F" w14:textId="468BF815" w:rsidR="00C95FA7" w:rsidRPr="00C95FA7" w:rsidRDefault="00C95FA7" w:rsidP="00306AFE">
      <w:pPr>
        <w:pStyle w:val="Tekst-1"/>
      </w:pPr>
      <w:r w:rsidRPr="00C95FA7">
        <w:rPr>
          <w:lang w:val="sr-Latn-RS"/>
        </w:rPr>
        <w:t xml:space="preserve">Граница </w:t>
      </w:r>
      <w:r>
        <w:t>т</w:t>
      </w:r>
      <w:r w:rsidRPr="00306AFE">
        <w:rPr>
          <w:lang w:val="sr-Latn-RS"/>
        </w:rPr>
        <w:t>ериториј</w:t>
      </w:r>
      <w:r>
        <w:t>е</w:t>
      </w:r>
      <w:r w:rsidRPr="00306AFE">
        <w:rPr>
          <w:lang w:val="sr-Latn-RS"/>
        </w:rPr>
        <w:t xml:space="preserve"> </w:t>
      </w:r>
      <w:r>
        <w:t>коју покрива ЛАГ</w:t>
      </w:r>
      <w:r w:rsidRPr="00C95FA7">
        <w:rPr>
          <w:lang w:val="sr-Latn-RS"/>
        </w:rPr>
        <w:t xml:space="preserve"> је дефинисана границама катастарских општина</w:t>
      </w:r>
      <w:r>
        <w:t xml:space="preserve">, </w:t>
      </w:r>
      <w:r w:rsidRPr="00C95FA7">
        <w:rPr>
          <w:lang w:val="sr-Latn-RS"/>
        </w:rPr>
        <w:t xml:space="preserve"> и то према општин</w:t>
      </w:r>
      <w:r>
        <w:t>ама</w:t>
      </w:r>
      <w:r>
        <w:rPr>
          <w:lang w:val="sr-Latn-RS"/>
        </w:rPr>
        <w:t xml:space="preserve"> </w:t>
      </w:r>
      <w:r w:rsidRPr="00C95FA7">
        <w:rPr>
          <w:lang w:val="sr-Latn-RS"/>
        </w:rPr>
        <w:t>Крушевац</w:t>
      </w:r>
      <w:r>
        <w:t>,</w:t>
      </w:r>
      <w:r w:rsidRPr="00C95FA7">
        <w:rPr>
          <w:lang w:val="sr-Latn-RS"/>
        </w:rPr>
        <w:t xml:space="preserve"> Алексинац</w:t>
      </w:r>
      <w:r>
        <w:t>,</w:t>
      </w:r>
      <w:r w:rsidRPr="00C95FA7">
        <w:rPr>
          <w:lang w:val="sr-Latn-RS"/>
        </w:rPr>
        <w:t xml:space="preserve"> Мерошина</w:t>
      </w:r>
      <w:r>
        <w:t>,</w:t>
      </w:r>
      <w:r w:rsidRPr="00C95FA7">
        <w:rPr>
          <w:lang w:val="sr-Latn-RS"/>
        </w:rPr>
        <w:t xml:space="preserve"> Житорађа</w:t>
      </w:r>
      <w:r>
        <w:t>,</w:t>
      </w:r>
      <w:r w:rsidRPr="00C95FA7">
        <w:rPr>
          <w:lang w:val="sr-Latn-RS"/>
        </w:rPr>
        <w:t xml:space="preserve"> Бојник</w:t>
      </w:r>
      <w:r>
        <w:t xml:space="preserve">, </w:t>
      </w:r>
      <w:r w:rsidRPr="00C95FA7">
        <w:rPr>
          <w:lang w:val="sr-Latn-RS"/>
        </w:rPr>
        <w:t>Куршумлија</w:t>
      </w:r>
      <w:r>
        <w:t>, Брус.</w:t>
      </w:r>
    </w:p>
    <w:p w14:paraId="0BD48856" w14:textId="7FE5F041" w:rsidR="00306AFE" w:rsidRPr="00DD65CA" w:rsidRDefault="00306AFE" w:rsidP="00306AFE">
      <w:pPr>
        <w:pStyle w:val="Tekst-1"/>
      </w:pPr>
      <w:r w:rsidRPr="00306AFE">
        <w:rPr>
          <w:lang w:val="sr-Latn-RS"/>
        </w:rPr>
        <w:t>По површини је мања копаоничк</w:t>
      </w:r>
      <w:r w:rsidR="00E22FAE">
        <w:t>о – јастребачка</w:t>
      </w:r>
      <w:r w:rsidRPr="00306AFE">
        <w:rPr>
          <w:lang w:val="sr-Latn-RS"/>
        </w:rPr>
        <w:t xml:space="preserve"> </w:t>
      </w:r>
      <w:r w:rsidR="00827E1E" w:rsidRPr="00E22FAE">
        <w:t>регија</w:t>
      </w:r>
      <w:r w:rsidRPr="00E22FAE">
        <w:rPr>
          <w:lang w:val="sr-Latn-RS"/>
        </w:rPr>
        <w:t xml:space="preserve"> (</w:t>
      </w:r>
      <w:r w:rsidR="00A223D8" w:rsidRPr="00E22FAE">
        <w:t>67</w:t>
      </w:r>
      <w:r w:rsidR="008A0FB3">
        <w:t>1,839</w:t>
      </w:r>
      <w:r w:rsidRPr="00E22FAE">
        <w:rPr>
          <w:lang w:val="sr-Latn-RS"/>
        </w:rPr>
        <w:t xml:space="preserve"> км²), </w:t>
      </w:r>
      <w:r w:rsidR="00827E1E" w:rsidRPr="00E22FAE">
        <w:t>и обухвата</w:t>
      </w:r>
      <w:r w:rsidRPr="00306AFE">
        <w:rPr>
          <w:lang w:val="sr-Latn-RS"/>
        </w:rPr>
        <w:t xml:space="preserve"> </w:t>
      </w:r>
      <w:r w:rsidR="00D32F1D">
        <w:t>99</w:t>
      </w:r>
      <w:r w:rsidRPr="00306AFE">
        <w:rPr>
          <w:lang w:val="sr-Latn-RS"/>
        </w:rPr>
        <w:t xml:space="preserve"> насеља, а према резултатима пописа из 2011. године у њој живи </w:t>
      </w:r>
      <w:r w:rsidR="00D76E3A">
        <w:rPr>
          <w:lang w:val="sr-Latn-RS"/>
        </w:rPr>
        <w:t>26</w:t>
      </w:r>
      <w:r w:rsidRPr="00306AFE">
        <w:rPr>
          <w:lang w:val="sr-Latn-RS"/>
        </w:rPr>
        <w:t>.</w:t>
      </w:r>
      <w:r w:rsidR="008A0FB3">
        <w:t>316</w:t>
      </w:r>
      <w:r w:rsidRPr="00306AFE">
        <w:rPr>
          <w:lang w:val="sr-Latn-RS"/>
        </w:rPr>
        <w:t xml:space="preserve"> становника. Од тог броја у Блацу живи </w:t>
      </w:r>
      <w:r w:rsidR="00DD65CA">
        <w:t>11.754</w:t>
      </w:r>
      <w:r w:rsidRPr="00306AFE">
        <w:rPr>
          <w:lang w:val="sr-Latn-RS"/>
        </w:rPr>
        <w:t xml:space="preserve"> становника</w:t>
      </w:r>
      <w:r w:rsidR="00DD65CA">
        <w:t xml:space="preserve">, док на подручју града Прокупље које покрива партнерство живи </w:t>
      </w:r>
      <w:r w:rsidR="00DD65CA" w:rsidRPr="00C35849">
        <w:t>14.562</w:t>
      </w:r>
      <w:r w:rsidR="00DD65CA">
        <w:t xml:space="preserve"> становника</w:t>
      </w:r>
      <w:r w:rsidRPr="00306AFE">
        <w:rPr>
          <w:lang w:val="sr-Latn-RS"/>
        </w:rPr>
        <w:t>.</w:t>
      </w:r>
    </w:p>
    <w:p w14:paraId="2C311F77" w14:textId="7B0EE00D" w:rsidR="00446196" w:rsidRDefault="00446196" w:rsidP="00446196">
      <w:pPr>
        <w:pStyle w:val="a0"/>
      </w:pPr>
      <w:r>
        <w:t>Табела</w:t>
      </w:r>
      <w:r w:rsidR="002D695B">
        <w:t xml:space="preserve"> 1</w:t>
      </w:r>
      <w:r>
        <w:t xml:space="preserve">. </w:t>
      </w:r>
      <w:r>
        <w:rPr>
          <w:lang w:val="en-US"/>
        </w:rPr>
        <w:t>O</w:t>
      </w:r>
      <w:r>
        <w:t>сновни статистички подаци – ЛАГ Јастребчанка</w:t>
      </w:r>
    </w:p>
    <w:tbl>
      <w:tblPr>
        <w:tblStyle w:val="TableGrid"/>
        <w:tblW w:w="5000" w:type="pct"/>
        <w:tblLook w:val="04A0" w:firstRow="1" w:lastRow="0" w:firstColumn="1" w:lastColumn="0" w:noHBand="0" w:noVBand="1"/>
      </w:tblPr>
      <w:tblGrid>
        <w:gridCol w:w="1339"/>
        <w:gridCol w:w="1358"/>
        <w:gridCol w:w="1040"/>
        <w:gridCol w:w="945"/>
        <w:gridCol w:w="926"/>
        <w:gridCol w:w="945"/>
        <w:gridCol w:w="945"/>
        <w:gridCol w:w="1745"/>
      </w:tblGrid>
      <w:tr w:rsidR="003A23F7" w:rsidRPr="003A23F7" w14:paraId="2840BC86" w14:textId="77777777" w:rsidTr="003A23F7">
        <w:tc>
          <w:tcPr>
            <w:tcW w:w="1176" w:type="dxa"/>
            <w:vMerge w:val="restart"/>
            <w:shd w:val="clear" w:color="auto" w:fill="9CC2E5" w:themeFill="accent5" w:themeFillTint="99"/>
            <w:vAlign w:val="center"/>
          </w:tcPr>
          <w:p w14:paraId="7390D5AB"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Град  / Општина</w:t>
            </w:r>
          </w:p>
        </w:tc>
        <w:tc>
          <w:tcPr>
            <w:tcW w:w="1193" w:type="dxa"/>
            <w:vMerge w:val="restart"/>
            <w:shd w:val="clear" w:color="auto" w:fill="9CC2E5" w:themeFill="accent5" w:themeFillTint="99"/>
            <w:vAlign w:val="center"/>
          </w:tcPr>
          <w:p w14:paraId="1661FF3A"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Површина</w:t>
            </w:r>
          </w:p>
          <w:p w14:paraId="48892285" w14:textId="77777777" w:rsidR="00446196" w:rsidRPr="003A23F7" w:rsidRDefault="00446196" w:rsidP="00DF16F8">
            <w:pPr>
              <w:jc w:val="center"/>
              <w:rPr>
                <w:rFonts w:ascii="Times New Roman" w:hAnsi="Times New Roman" w:cs="Times New Roman"/>
                <w:b/>
                <w:bCs/>
                <w:sz w:val="20"/>
                <w:szCs w:val="20"/>
                <w:vertAlign w:val="superscript"/>
              </w:rPr>
            </w:pPr>
            <w:r w:rsidRPr="003A23F7">
              <w:rPr>
                <w:rFonts w:ascii="Times New Roman" w:hAnsi="Times New Roman" w:cs="Times New Roman"/>
                <w:b/>
                <w:bCs/>
                <w:sz w:val="20"/>
                <w:szCs w:val="20"/>
              </w:rPr>
              <w:t>km</w:t>
            </w:r>
            <w:r w:rsidRPr="003A23F7">
              <w:rPr>
                <w:rFonts w:ascii="Times New Roman" w:hAnsi="Times New Roman" w:cs="Times New Roman"/>
                <w:b/>
                <w:bCs/>
                <w:sz w:val="20"/>
                <w:szCs w:val="20"/>
                <w:vertAlign w:val="superscript"/>
              </w:rPr>
              <w:t>2</w:t>
            </w:r>
          </w:p>
        </w:tc>
        <w:tc>
          <w:tcPr>
            <w:tcW w:w="913" w:type="dxa"/>
            <w:vMerge w:val="restart"/>
            <w:shd w:val="clear" w:color="auto" w:fill="9CC2E5" w:themeFill="accent5" w:themeFillTint="99"/>
            <w:vAlign w:val="center"/>
          </w:tcPr>
          <w:p w14:paraId="4FFE28F9"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Број насеља</w:t>
            </w:r>
          </w:p>
        </w:tc>
        <w:tc>
          <w:tcPr>
            <w:tcW w:w="1643" w:type="dxa"/>
            <w:gridSpan w:val="2"/>
            <w:shd w:val="clear" w:color="auto" w:fill="9CC2E5" w:themeFill="accent5" w:themeFillTint="99"/>
            <w:vAlign w:val="center"/>
          </w:tcPr>
          <w:p w14:paraId="6476BE6F"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Број домаћинства</w:t>
            </w:r>
          </w:p>
        </w:tc>
        <w:tc>
          <w:tcPr>
            <w:tcW w:w="1660" w:type="dxa"/>
            <w:gridSpan w:val="2"/>
            <w:shd w:val="clear" w:color="auto" w:fill="9CC2E5" w:themeFill="accent5" w:themeFillTint="99"/>
            <w:vAlign w:val="center"/>
          </w:tcPr>
          <w:p w14:paraId="3A748A55"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Број становника</w:t>
            </w:r>
          </w:p>
        </w:tc>
        <w:tc>
          <w:tcPr>
            <w:tcW w:w="1533" w:type="dxa"/>
            <w:vMerge w:val="restart"/>
            <w:shd w:val="clear" w:color="auto" w:fill="9CC2E5" w:themeFill="accent5" w:themeFillTint="99"/>
            <w:vAlign w:val="center"/>
          </w:tcPr>
          <w:p w14:paraId="23EBA8D6"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Густина насељености</w:t>
            </w:r>
          </w:p>
          <w:p w14:paraId="22B8D7EF" w14:textId="77777777" w:rsidR="00446196" w:rsidRPr="003A23F7" w:rsidRDefault="00446196" w:rsidP="00DF16F8">
            <w:pPr>
              <w:jc w:val="center"/>
              <w:rPr>
                <w:rFonts w:ascii="Times New Roman" w:hAnsi="Times New Roman" w:cs="Times New Roman"/>
                <w:b/>
                <w:bCs/>
                <w:sz w:val="20"/>
                <w:szCs w:val="20"/>
                <w:vertAlign w:val="superscript"/>
              </w:rPr>
            </w:pPr>
            <w:r w:rsidRPr="003A23F7">
              <w:rPr>
                <w:rFonts w:ascii="Times New Roman" w:hAnsi="Times New Roman" w:cs="Times New Roman"/>
                <w:b/>
                <w:bCs/>
                <w:sz w:val="20"/>
                <w:szCs w:val="20"/>
                <w:lang w:val="sr-Cyrl-RS"/>
              </w:rPr>
              <w:t>ст./</w:t>
            </w:r>
            <w:r w:rsidRPr="003A23F7">
              <w:rPr>
                <w:rFonts w:ascii="Times New Roman" w:hAnsi="Times New Roman" w:cs="Times New Roman"/>
                <w:b/>
                <w:bCs/>
                <w:sz w:val="20"/>
                <w:szCs w:val="20"/>
                <w:lang w:val="en-US"/>
              </w:rPr>
              <w:t>k</w:t>
            </w:r>
            <w:r w:rsidRPr="003A23F7">
              <w:rPr>
                <w:rFonts w:ascii="Times New Roman" w:hAnsi="Times New Roman" w:cs="Times New Roman"/>
                <w:b/>
                <w:bCs/>
                <w:sz w:val="20"/>
                <w:szCs w:val="20"/>
              </w:rPr>
              <w:t>m</w:t>
            </w:r>
            <w:r w:rsidRPr="003A23F7">
              <w:rPr>
                <w:rFonts w:ascii="Times New Roman" w:hAnsi="Times New Roman" w:cs="Times New Roman"/>
                <w:b/>
                <w:bCs/>
                <w:sz w:val="20"/>
                <w:szCs w:val="20"/>
                <w:vertAlign w:val="superscript"/>
              </w:rPr>
              <w:t>2</w:t>
            </w:r>
          </w:p>
        </w:tc>
      </w:tr>
      <w:tr w:rsidR="003A23F7" w:rsidRPr="003A23F7" w14:paraId="03F551BA" w14:textId="77777777" w:rsidTr="003A23F7">
        <w:tc>
          <w:tcPr>
            <w:tcW w:w="1176" w:type="dxa"/>
            <w:vMerge/>
            <w:shd w:val="clear" w:color="auto" w:fill="9CC2E5" w:themeFill="accent5" w:themeFillTint="99"/>
          </w:tcPr>
          <w:p w14:paraId="568D2C35" w14:textId="77777777" w:rsidR="00446196" w:rsidRPr="003A23F7" w:rsidRDefault="00446196" w:rsidP="00DF16F8">
            <w:pPr>
              <w:jc w:val="center"/>
              <w:rPr>
                <w:rFonts w:ascii="Times New Roman" w:hAnsi="Times New Roman" w:cs="Times New Roman"/>
                <w:sz w:val="20"/>
                <w:szCs w:val="20"/>
              </w:rPr>
            </w:pPr>
          </w:p>
        </w:tc>
        <w:tc>
          <w:tcPr>
            <w:tcW w:w="1193" w:type="dxa"/>
            <w:vMerge/>
            <w:shd w:val="clear" w:color="auto" w:fill="9CC2E5" w:themeFill="accent5" w:themeFillTint="99"/>
          </w:tcPr>
          <w:p w14:paraId="00E5CAB2" w14:textId="77777777" w:rsidR="00446196" w:rsidRPr="003A23F7" w:rsidRDefault="00446196" w:rsidP="00DF16F8">
            <w:pPr>
              <w:jc w:val="center"/>
              <w:rPr>
                <w:rFonts w:ascii="Times New Roman" w:hAnsi="Times New Roman" w:cs="Times New Roman"/>
                <w:sz w:val="20"/>
                <w:szCs w:val="20"/>
              </w:rPr>
            </w:pPr>
          </w:p>
        </w:tc>
        <w:tc>
          <w:tcPr>
            <w:tcW w:w="913" w:type="dxa"/>
            <w:vMerge/>
            <w:shd w:val="clear" w:color="auto" w:fill="9CC2E5" w:themeFill="accent5" w:themeFillTint="99"/>
          </w:tcPr>
          <w:p w14:paraId="0A9DAF30" w14:textId="77777777" w:rsidR="00446196" w:rsidRPr="003A23F7" w:rsidRDefault="00446196" w:rsidP="00DF16F8">
            <w:pPr>
              <w:jc w:val="center"/>
              <w:rPr>
                <w:rFonts w:ascii="Times New Roman" w:hAnsi="Times New Roman" w:cs="Times New Roman"/>
                <w:sz w:val="20"/>
                <w:szCs w:val="20"/>
              </w:rPr>
            </w:pPr>
          </w:p>
        </w:tc>
        <w:tc>
          <w:tcPr>
            <w:tcW w:w="830" w:type="dxa"/>
            <w:shd w:val="clear" w:color="auto" w:fill="9CC2E5" w:themeFill="accent5" w:themeFillTint="99"/>
          </w:tcPr>
          <w:p w14:paraId="5E567178"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2002</w:t>
            </w:r>
          </w:p>
        </w:tc>
        <w:tc>
          <w:tcPr>
            <w:tcW w:w="813" w:type="dxa"/>
            <w:shd w:val="clear" w:color="auto" w:fill="9CC2E5" w:themeFill="accent5" w:themeFillTint="99"/>
          </w:tcPr>
          <w:p w14:paraId="354BF44E"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2011</w:t>
            </w:r>
          </w:p>
        </w:tc>
        <w:tc>
          <w:tcPr>
            <w:tcW w:w="830" w:type="dxa"/>
            <w:shd w:val="clear" w:color="auto" w:fill="9CC2E5" w:themeFill="accent5" w:themeFillTint="99"/>
          </w:tcPr>
          <w:p w14:paraId="3DE81F1D"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2002</w:t>
            </w:r>
          </w:p>
        </w:tc>
        <w:tc>
          <w:tcPr>
            <w:tcW w:w="830" w:type="dxa"/>
            <w:shd w:val="clear" w:color="auto" w:fill="9CC2E5" w:themeFill="accent5" w:themeFillTint="99"/>
          </w:tcPr>
          <w:p w14:paraId="0CFE8004"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2011</w:t>
            </w:r>
          </w:p>
        </w:tc>
        <w:tc>
          <w:tcPr>
            <w:tcW w:w="1533" w:type="dxa"/>
            <w:vMerge/>
            <w:shd w:val="clear" w:color="auto" w:fill="9CC2E5" w:themeFill="accent5" w:themeFillTint="99"/>
          </w:tcPr>
          <w:p w14:paraId="1A81E32F" w14:textId="77777777" w:rsidR="00446196" w:rsidRPr="003A23F7" w:rsidRDefault="00446196" w:rsidP="00DF16F8">
            <w:pPr>
              <w:jc w:val="center"/>
              <w:rPr>
                <w:rFonts w:ascii="Times New Roman" w:hAnsi="Times New Roman" w:cs="Times New Roman"/>
                <w:sz w:val="20"/>
                <w:szCs w:val="20"/>
              </w:rPr>
            </w:pPr>
          </w:p>
        </w:tc>
      </w:tr>
      <w:tr w:rsidR="00446196" w:rsidRPr="00446196" w14:paraId="39A995B6" w14:textId="77777777" w:rsidTr="00DF16F8">
        <w:tc>
          <w:tcPr>
            <w:tcW w:w="1176" w:type="dxa"/>
            <w:shd w:val="clear" w:color="auto" w:fill="F2F2F2" w:themeFill="background1" w:themeFillShade="F2"/>
          </w:tcPr>
          <w:p w14:paraId="754D0344" w14:textId="77777777" w:rsidR="00446196" w:rsidRPr="00446196" w:rsidRDefault="00446196" w:rsidP="00DF16F8">
            <w:pPr>
              <w:jc w:val="center"/>
              <w:rPr>
                <w:rFonts w:ascii="Times New Roman" w:hAnsi="Times New Roman" w:cs="Times New Roman"/>
                <w:sz w:val="20"/>
                <w:szCs w:val="20"/>
                <w:lang w:val="sr-Cyrl-RS"/>
              </w:rPr>
            </w:pPr>
            <w:r w:rsidRPr="00446196">
              <w:rPr>
                <w:rFonts w:ascii="Times New Roman" w:hAnsi="Times New Roman" w:cs="Times New Roman"/>
                <w:sz w:val="20"/>
                <w:szCs w:val="20"/>
                <w:lang w:val="sr-Cyrl-RS"/>
              </w:rPr>
              <w:t>Прокупље</w:t>
            </w:r>
          </w:p>
        </w:tc>
        <w:tc>
          <w:tcPr>
            <w:tcW w:w="1193" w:type="dxa"/>
            <w:shd w:val="clear" w:color="auto" w:fill="F2F2F2" w:themeFill="background1" w:themeFillShade="F2"/>
          </w:tcPr>
          <w:p w14:paraId="26833879"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365,839</w:t>
            </w:r>
          </w:p>
        </w:tc>
        <w:tc>
          <w:tcPr>
            <w:tcW w:w="913" w:type="dxa"/>
            <w:shd w:val="clear" w:color="auto" w:fill="F2F2F2" w:themeFill="background1" w:themeFillShade="F2"/>
          </w:tcPr>
          <w:p w14:paraId="131A3BAC" w14:textId="77777777" w:rsidR="00446196" w:rsidRPr="00446196" w:rsidRDefault="00446196" w:rsidP="00DF16F8">
            <w:pPr>
              <w:jc w:val="center"/>
              <w:rPr>
                <w:rFonts w:ascii="Times New Roman" w:hAnsi="Times New Roman" w:cs="Times New Roman"/>
                <w:sz w:val="20"/>
                <w:szCs w:val="20"/>
                <w:lang w:val="sr-Cyrl-RS"/>
              </w:rPr>
            </w:pPr>
            <w:r w:rsidRPr="00446196">
              <w:rPr>
                <w:rFonts w:ascii="Times New Roman" w:hAnsi="Times New Roman" w:cs="Times New Roman"/>
                <w:sz w:val="20"/>
                <w:szCs w:val="20"/>
                <w:lang w:val="sr-Cyrl-RS"/>
              </w:rPr>
              <w:t>59</w:t>
            </w:r>
          </w:p>
        </w:tc>
        <w:tc>
          <w:tcPr>
            <w:tcW w:w="830" w:type="dxa"/>
            <w:shd w:val="clear" w:color="auto" w:fill="F2F2F2" w:themeFill="background1" w:themeFillShade="F2"/>
          </w:tcPr>
          <w:p w14:paraId="706FF46C"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6.019</w:t>
            </w:r>
          </w:p>
        </w:tc>
        <w:tc>
          <w:tcPr>
            <w:tcW w:w="813" w:type="dxa"/>
            <w:shd w:val="clear" w:color="auto" w:fill="F2F2F2" w:themeFill="background1" w:themeFillShade="F2"/>
          </w:tcPr>
          <w:p w14:paraId="1200C341"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5.238</w:t>
            </w:r>
          </w:p>
        </w:tc>
        <w:tc>
          <w:tcPr>
            <w:tcW w:w="830" w:type="dxa"/>
            <w:shd w:val="clear" w:color="auto" w:fill="F2F2F2" w:themeFill="background1" w:themeFillShade="F2"/>
          </w:tcPr>
          <w:p w14:paraId="424F5D5E"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17.352</w:t>
            </w:r>
          </w:p>
        </w:tc>
        <w:tc>
          <w:tcPr>
            <w:tcW w:w="830" w:type="dxa"/>
            <w:shd w:val="clear" w:color="auto" w:fill="F2F2F2" w:themeFill="background1" w:themeFillShade="F2"/>
          </w:tcPr>
          <w:p w14:paraId="79BDC74C"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14.562</w:t>
            </w:r>
          </w:p>
        </w:tc>
        <w:tc>
          <w:tcPr>
            <w:tcW w:w="1533" w:type="dxa"/>
            <w:shd w:val="clear" w:color="auto" w:fill="F2F2F2" w:themeFill="background1" w:themeFillShade="F2"/>
          </w:tcPr>
          <w:p w14:paraId="00939AE3"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39,80</w:t>
            </w:r>
          </w:p>
        </w:tc>
      </w:tr>
      <w:tr w:rsidR="00446196" w:rsidRPr="00446196" w14:paraId="0885183B" w14:textId="77777777" w:rsidTr="00DF16F8">
        <w:tc>
          <w:tcPr>
            <w:tcW w:w="1176" w:type="dxa"/>
            <w:shd w:val="clear" w:color="auto" w:fill="F2F2F2" w:themeFill="background1" w:themeFillShade="F2"/>
          </w:tcPr>
          <w:p w14:paraId="39E13724" w14:textId="77777777" w:rsidR="00446196" w:rsidRPr="00446196" w:rsidRDefault="00446196" w:rsidP="00DF16F8">
            <w:pPr>
              <w:jc w:val="center"/>
              <w:rPr>
                <w:rFonts w:ascii="Times New Roman" w:hAnsi="Times New Roman" w:cs="Times New Roman"/>
                <w:sz w:val="20"/>
                <w:szCs w:val="20"/>
                <w:lang w:val="sr-Cyrl-RS"/>
              </w:rPr>
            </w:pPr>
            <w:r w:rsidRPr="00446196">
              <w:rPr>
                <w:rFonts w:ascii="Times New Roman" w:hAnsi="Times New Roman" w:cs="Times New Roman"/>
                <w:sz w:val="20"/>
                <w:szCs w:val="20"/>
                <w:lang w:val="sr-Cyrl-RS"/>
              </w:rPr>
              <w:t>Блаце</w:t>
            </w:r>
          </w:p>
        </w:tc>
        <w:tc>
          <w:tcPr>
            <w:tcW w:w="1193" w:type="dxa"/>
            <w:shd w:val="clear" w:color="auto" w:fill="F2F2F2" w:themeFill="background1" w:themeFillShade="F2"/>
          </w:tcPr>
          <w:p w14:paraId="100D4516"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306,000</w:t>
            </w:r>
          </w:p>
        </w:tc>
        <w:tc>
          <w:tcPr>
            <w:tcW w:w="913" w:type="dxa"/>
            <w:shd w:val="clear" w:color="auto" w:fill="F2F2F2" w:themeFill="background1" w:themeFillShade="F2"/>
          </w:tcPr>
          <w:p w14:paraId="68200AC5" w14:textId="77777777" w:rsidR="00446196" w:rsidRPr="00446196" w:rsidRDefault="00446196" w:rsidP="00DF16F8">
            <w:pPr>
              <w:jc w:val="center"/>
              <w:rPr>
                <w:rFonts w:ascii="Times New Roman" w:hAnsi="Times New Roman" w:cs="Times New Roman"/>
                <w:sz w:val="20"/>
                <w:szCs w:val="20"/>
                <w:lang w:val="sr-Cyrl-RS"/>
              </w:rPr>
            </w:pPr>
            <w:r w:rsidRPr="00446196">
              <w:rPr>
                <w:rFonts w:ascii="Times New Roman" w:hAnsi="Times New Roman" w:cs="Times New Roman"/>
                <w:sz w:val="20"/>
                <w:szCs w:val="20"/>
                <w:lang w:val="sr-Cyrl-RS"/>
              </w:rPr>
              <w:t>40</w:t>
            </w:r>
          </w:p>
        </w:tc>
        <w:tc>
          <w:tcPr>
            <w:tcW w:w="830" w:type="dxa"/>
            <w:shd w:val="clear" w:color="auto" w:fill="F2F2F2" w:themeFill="background1" w:themeFillShade="F2"/>
          </w:tcPr>
          <w:p w14:paraId="304A2718"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4.873</w:t>
            </w:r>
          </w:p>
        </w:tc>
        <w:tc>
          <w:tcPr>
            <w:tcW w:w="813" w:type="dxa"/>
            <w:shd w:val="clear" w:color="auto" w:fill="F2F2F2" w:themeFill="background1" w:themeFillShade="F2"/>
          </w:tcPr>
          <w:p w14:paraId="27CAA367"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4.225</w:t>
            </w:r>
          </w:p>
        </w:tc>
        <w:tc>
          <w:tcPr>
            <w:tcW w:w="830" w:type="dxa"/>
            <w:shd w:val="clear" w:color="auto" w:fill="F2F2F2" w:themeFill="background1" w:themeFillShade="F2"/>
          </w:tcPr>
          <w:p w14:paraId="23EB7E89"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13.759</w:t>
            </w:r>
          </w:p>
        </w:tc>
        <w:tc>
          <w:tcPr>
            <w:tcW w:w="830" w:type="dxa"/>
            <w:shd w:val="clear" w:color="auto" w:fill="F2F2F2" w:themeFill="background1" w:themeFillShade="F2"/>
          </w:tcPr>
          <w:p w14:paraId="1C6218A0"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11.754</w:t>
            </w:r>
          </w:p>
        </w:tc>
        <w:tc>
          <w:tcPr>
            <w:tcW w:w="1533" w:type="dxa"/>
            <w:shd w:val="clear" w:color="auto" w:fill="F2F2F2" w:themeFill="background1" w:themeFillShade="F2"/>
          </w:tcPr>
          <w:p w14:paraId="7A577735" w14:textId="77777777" w:rsidR="00446196" w:rsidRPr="00446196" w:rsidRDefault="00446196" w:rsidP="00DF16F8">
            <w:pPr>
              <w:jc w:val="right"/>
              <w:rPr>
                <w:rFonts w:ascii="Times New Roman" w:hAnsi="Times New Roman" w:cs="Times New Roman"/>
                <w:sz w:val="20"/>
                <w:szCs w:val="20"/>
                <w:lang w:val="sr-Cyrl-RS"/>
              </w:rPr>
            </w:pPr>
            <w:r w:rsidRPr="00446196">
              <w:rPr>
                <w:rFonts w:ascii="Times New Roman" w:hAnsi="Times New Roman" w:cs="Times New Roman"/>
                <w:sz w:val="20"/>
                <w:szCs w:val="20"/>
                <w:lang w:val="sr-Cyrl-RS"/>
              </w:rPr>
              <w:t>38,41</w:t>
            </w:r>
          </w:p>
        </w:tc>
      </w:tr>
      <w:tr w:rsidR="003A23F7" w:rsidRPr="003A23F7" w14:paraId="4CE1625F" w14:textId="77777777" w:rsidTr="003A23F7">
        <w:tc>
          <w:tcPr>
            <w:tcW w:w="1176" w:type="dxa"/>
            <w:shd w:val="clear" w:color="auto" w:fill="9CC2E5" w:themeFill="accent5" w:themeFillTint="99"/>
          </w:tcPr>
          <w:p w14:paraId="74FF392A"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ЛАГ</w:t>
            </w:r>
          </w:p>
        </w:tc>
        <w:tc>
          <w:tcPr>
            <w:tcW w:w="1193" w:type="dxa"/>
            <w:shd w:val="clear" w:color="auto" w:fill="9CC2E5" w:themeFill="accent5" w:themeFillTint="99"/>
          </w:tcPr>
          <w:p w14:paraId="7E410720"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671,839</w:t>
            </w:r>
          </w:p>
        </w:tc>
        <w:tc>
          <w:tcPr>
            <w:tcW w:w="913" w:type="dxa"/>
            <w:shd w:val="clear" w:color="auto" w:fill="9CC2E5" w:themeFill="accent5" w:themeFillTint="99"/>
          </w:tcPr>
          <w:p w14:paraId="1FBB5508" w14:textId="77777777" w:rsidR="00446196" w:rsidRPr="003A23F7" w:rsidRDefault="00446196" w:rsidP="00DF16F8">
            <w:pPr>
              <w:jc w:val="center"/>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99</w:t>
            </w:r>
          </w:p>
        </w:tc>
        <w:tc>
          <w:tcPr>
            <w:tcW w:w="830" w:type="dxa"/>
            <w:shd w:val="clear" w:color="auto" w:fill="9CC2E5" w:themeFill="accent5" w:themeFillTint="99"/>
          </w:tcPr>
          <w:p w14:paraId="70B9D7DD"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10.892</w:t>
            </w:r>
          </w:p>
        </w:tc>
        <w:tc>
          <w:tcPr>
            <w:tcW w:w="813" w:type="dxa"/>
            <w:shd w:val="clear" w:color="auto" w:fill="9CC2E5" w:themeFill="accent5" w:themeFillTint="99"/>
          </w:tcPr>
          <w:p w14:paraId="249B2FD3"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9.463</w:t>
            </w:r>
          </w:p>
        </w:tc>
        <w:tc>
          <w:tcPr>
            <w:tcW w:w="830" w:type="dxa"/>
            <w:shd w:val="clear" w:color="auto" w:fill="9CC2E5" w:themeFill="accent5" w:themeFillTint="99"/>
          </w:tcPr>
          <w:p w14:paraId="708672EA"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31.111</w:t>
            </w:r>
          </w:p>
        </w:tc>
        <w:tc>
          <w:tcPr>
            <w:tcW w:w="830" w:type="dxa"/>
            <w:shd w:val="clear" w:color="auto" w:fill="9CC2E5" w:themeFill="accent5" w:themeFillTint="99"/>
          </w:tcPr>
          <w:p w14:paraId="70F35CDD"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26.316</w:t>
            </w:r>
          </w:p>
        </w:tc>
        <w:tc>
          <w:tcPr>
            <w:tcW w:w="1533" w:type="dxa"/>
            <w:shd w:val="clear" w:color="auto" w:fill="9CC2E5" w:themeFill="accent5" w:themeFillTint="99"/>
          </w:tcPr>
          <w:p w14:paraId="433E6CD1" w14:textId="77777777" w:rsidR="00446196" w:rsidRPr="003A23F7" w:rsidRDefault="00446196" w:rsidP="00DF16F8">
            <w:pPr>
              <w:jc w:val="right"/>
              <w:rPr>
                <w:rFonts w:ascii="Times New Roman" w:hAnsi="Times New Roman" w:cs="Times New Roman"/>
                <w:b/>
                <w:bCs/>
                <w:sz w:val="20"/>
                <w:szCs w:val="20"/>
                <w:lang w:val="sr-Cyrl-RS"/>
              </w:rPr>
            </w:pPr>
            <w:r w:rsidRPr="003A23F7">
              <w:rPr>
                <w:rFonts w:ascii="Times New Roman" w:hAnsi="Times New Roman" w:cs="Times New Roman"/>
                <w:b/>
                <w:bCs/>
                <w:sz w:val="20"/>
                <w:szCs w:val="20"/>
                <w:lang w:val="sr-Cyrl-RS"/>
              </w:rPr>
              <w:t>78,22</w:t>
            </w:r>
          </w:p>
        </w:tc>
      </w:tr>
    </w:tbl>
    <w:p w14:paraId="6CEB7C06" w14:textId="315CEEF7" w:rsidR="00D70FF1" w:rsidRDefault="00306AFE" w:rsidP="00306AFE">
      <w:pPr>
        <w:pStyle w:val="Tekst-1"/>
        <w:rPr>
          <w:lang w:val="sr-Latn-RS"/>
        </w:rPr>
      </w:pPr>
      <w:r w:rsidRPr="00306AFE">
        <w:rPr>
          <w:lang w:val="sr-Latn-RS"/>
        </w:rPr>
        <w:t>Насељ</w:t>
      </w:r>
      <w:r w:rsidR="00D70FF1">
        <w:t>а која чине ЛАГ са територије општине</w:t>
      </w:r>
      <w:r w:rsidRPr="00306AFE">
        <w:rPr>
          <w:lang w:val="sr-Latn-RS"/>
        </w:rPr>
        <w:t xml:space="preserve"> Блаце смештен</w:t>
      </w:r>
      <w:r w:rsidR="00D70FF1">
        <w:t>а</w:t>
      </w:r>
      <w:r w:rsidRPr="00306AFE">
        <w:rPr>
          <w:lang w:val="sr-Latn-RS"/>
        </w:rPr>
        <w:t xml:space="preserve"> </w:t>
      </w:r>
      <w:r w:rsidR="00D70FF1">
        <w:t>су</w:t>
      </w:r>
      <w:r w:rsidRPr="00306AFE">
        <w:rPr>
          <w:lang w:val="sr-Latn-RS"/>
        </w:rPr>
        <w:t xml:space="preserve"> </w:t>
      </w:r>
      <w:r w:rsidR="00D70FF1">
        <w:t xml:space="preserve">највећим делом </w:t>
      </w:r>
      <w:r w:rsidRPr="00306AFE">
        <w:rPr>
          <w:lang w:val="sr-Latn-RS"/>
        </w:rPr>
        <w:t>поред реке Блаташнице на око 12 км узводно од њеног улива у Расину. На</w:t>
      </w:r>
      <w:r w:rsidR="00D70FF1">
        <w:t>лазе се</w:t>
      </w:r>
      <w:r w:rsidRPr="00306AFE">
        <w:rPr>
          <w:lang w:val="sr-Latn-RS"/>
        </w:rPr>
        <w:t xml:space="preserve"> </w:t>
      </w:r>
      <w:r w:rsidR="00D70FF1">
        <w:t xml:space="preserve">на </w:t>
      </w:r>
      <w:r w:rsidRPr="00306AFE">
        <w:rPr>
          <w:lang w:val="sr-Latn-RS"/>
        </w:rPr>
        <w:t xml:space="preserve">надморским висинама од </w:t>
      </w:r>
      <w:r w:rsidR="00024290">
        <w:rPr>
          <w:lang w:val="sr-Latn-RS"/>
        </w:rPr>
        <w:t>250</w:t>
      </w:r>
      <w:r w:rsidRPr="00306AFE">
        <w:rPr>
          <w:lang w:val="sr-Latn-RS"/>
        </w:rPr>
        <w:t>-430 мнм (средња висина 3</w:t>
      </w:r>
      <w:r w:rsidR="00024290">
        <w:rPr>
          <w:lang w:val="sr-Latn-RS"/>
        </w:rPr>
        <w:t>40</w:t>
      </w:r>
      <w:r w:rsidRPr="00306AFE">
        <w:rPr>
          <w:lang w:val="sr-Latn-RS"/>
        </w:rPr>
        <w:t xml:space="preserve"> мнм), Блаце лежи на вододелници сливова река Расине и Топлице</w:t>
      </w:r>
      <w:r w:rsidR="00D70FF1">
        <w:t>, док је општина Прокупље претежно на сливу реке Топлице</w:t>
      </w:r>
      <w:r w:rsidRPr="00306AFE">
        <w:rPr>
          <w:lang w:val="sr-Latn-RS"/>
        </w:rPr>
        <w:t>.</w:t>
      </w:r>
      <w:r w:rsidR="00024290">
        <w:rPr>
          <w:lang w:val="sr-Latn-RS"/>
        </w:rPr>
        <w:t xml:space="preserve"> </w:t>
      </w:r>
      <w:r w:rsidR="00024290" w:rsidRPr="00024290">
        <w:rPr>
          <w:lang w:val="sr-Latn-RS"/>
        </w:rPr>
        <w:t>Река Топлица, по којој је читав крај добио име, извире испод самог Панчићевог врха на Копаонику и тече на исток, у дужини од 136km и улива се у Јужну Мораву, недалеко од Ниша.</w:t>
      </w:r>
    </w:p>
    <w:p w14:paraId="70A835F4" w14:textId="75DA4E5E" w:rsidR="00EF10BA" w:rsidRPr="006C3F77" w:rsidRDefault="00EF10BA" w:rsidP="00DF16F8">
      <w:pPr>
        <w:pStyle w:val="Tekst-1"/>
        <w:rPr>
          <w:lang w:val="sr-Latn-RS"/>
        </w:rPr>
      </w:pPr>
      <w:r w:rsidRPr="00EF10BA">
        <w:rPr>
          <w:lang w:val="sr-Latn-RS"/>
        </w:rPr>
        <w:t>Повољан географски положај и конфигурација терена условили су да најзначајнија средњебалканска</w:t>
      </w:r>
      <w:r>
        <w:rPr>
          <w:lang w:val="sr-Latn-RS"/>
        </w:rPr>
        <w:t xml:space="preserve"> </w:t>
      </w:r>
      <w:r w:rsidRPr="00EF10BA">
        <w:rPr>
          <w:lang w:val="sr-Latn-RS"/>
        </w:rPr>
        <w:t>трансверзала која повезује Црно Море с Јадранским, делом иде управо Топлицом, затим Косаницом и преко</w:t>
      </w:r>
      <w:r>
        <w:rPr>
          <w:lang w:val="sr-Latn-RS"/>
        </w:rPr>
        <w:t xml:space="preserve"> </w:t>
      </w:r>
      <w:r w:rsidRPr="00EF10BA">
        <w:rPr>
          <w:lang w:val="sr-Latn-RS"/>
        </w:rPr>
        <w:t>Косова и Метохије, чинећи најкраћу везу између Моравско-вардарске долине и Јадранског мора. Овај путни</w:t>
      </w:r>
      <w:r>
        <w:rPr>
          <w:lang w:val="sr-Latn-RS"/>
        </w:rPr>
        <w:t xml:space="preserve"> </w:t>
      </w:r>
      <w:r w:rsidRPr="00EF10BA">
        <w:rPr>
          <w:lang w:val="sr-Latn-RS"/>
        </w:rPr>
        <w:t>правац, уз низ споредних, био је од прворазредног значаја за сва историјска и културна кретања у овом делу</w:t>
      </w:r>
      <w:r>
        <w:rPr>
          <w:lang w:val="sr-Latn-RS"/>
        </w:rPr>
        <w:t xml:space="preserve"> </w:t>
      </w:r>
      <w:r w:rsidRPr="00EF10BA">
        <w:rPr>
          <w:lang w:val="sr-Latn-RS"/>
        </w:rPr>
        <w:t>наше земље.</w:t>
      </w:r>
    </w:p>
    <w:p w14:paraId="78E66EF0" w14:textId="77777777" w:rsidR="003A23F7" w:rsidRDefault="003A23F7">
      <w:pPr>
        <w:rPr>
          <w:rFonts w:ascii="Times New Roman" w:hAnsi="Times New Roman" w:cs="Times New Roman"/>
          <w:b/>
          <w:i/>
          <w:iCs/>
          <w:sz w:val="24"/>
          <w:szCs w:val="28"/>
          <w:lang w:val="sr-Cyrl-RS"/>
        </w:rPr>
      </w:pPr>
      <w:r>
        <w:br w:type="page"/>
      </w:r>
    </w:p>
    <w:p w14:paraId="003ED793" w14:textId="3E45053B" w:rsidR="003856CF" w:rsidRPr="003856CF" w:rsidRDefault="00327E96" w:rsidP="005C417A">
      <w:pPr>
        <w:pStyle w:val="-3"/>
      </w:pPr>
      <w:bookmarkStart w:id="7" w:name="_Toc55208021"/>
      <w:r>
        <w:lastRenderedPageBreak/>
        <w:t>Природни услови и животна средина</w:t>
      </w:r>
      <w:bookmarkEnd w:id="7"/>
    </w:p>
    <w:p w14:paraId="1FE04756" w14:textId="6709DBB7" w:rsidR="0035414E" w:rsidRPr="00306AFE" w:rsidRDefault="00306AFE" w:rsidP="00306AFE">
      <w:pPr>
        <w:pStyle w:val="Tekst-1"/>
        <w:rPr>
          <w:lang w:val="sr-Latn-RS"/>
        </w:rPr>
      </w:pPr>
      <w:r w:rsidRPr="00306AFE">
        <w:rPr>
          <w:lang w:val="sr-Latn-RS"/>
        </w:rPr>
        <w:t xml:space="preserve">Територија </w:t>
      </w:r>
      <w:r w:rsidR="0035414E">
        <w:t>подручја ЛАГ-а</w:t>
      </w:r>
      <w:r w:rsidRPr="00306AFE">
        <w:rPr>
          <w:lang w:val="sr-Latn-RS"/>
        </w:rPr>
        <w:t xml:space="preserve"> има умерено континенталну климу са изразитим континенталним карактеристикама, која са повећањем надморске висине поприма карактер планинске климе. На такве климатске карактеристике су, поред спољних фактора, утицале и карактеристике Топличке котлине и правци пружања планинских масива Копаоника и Великог Јастребца.</w:t>
      </w:r>
      <w:r w:rsidR="0035414E">
        <w:t xml:space="preserve"> </w:t>
      </w:r>
      <w:r w:rsidR="0035414E" w:rsidRPr="0035414E">
        <w:rPr>
          <w:lang w:val="sr-Latn-RS"/>
        </w:rPr>
        <w:t>Умерено-континентална клима са благим прелазима између годишњих доба у котлини, али зато дуга и оштра зима на планини, условили су плодно тле дуж реке и њених притока, богатство шумама и пашњацима</w:t>
      </w:r>
      <w:r w:rsidR="0035414E">
        <w:t xml:space="preserve">. Оваква </w:t>
      </w:r>
      <w:r w:rsidR="0035414E" w:rsidRPr="0035414E">
        <w:rPr>
          <w:lang w:val="sr-Latn-RS"/>
        </w:rPr>
        <w:t xml:space="preserve">клима и брдско планинско подручје, као и богатство подземним текућим и термоминералним водама, пружа повољне услове за економски развој </w:t>
      </w:r>
      <w:r w:rsidR="0035414E">
        <w:t>овог подручја</w:t>
      </w:r>
      <w:r w:rsidR="0035414E" w:rsidRPr="0035414E">
        <w:rPr>
          <w:lang w:val="sr-Latn-RS"/>
        </w:rPr>
        <w:t>.</w:t>
      </w:r>
    </w:p>
    <w:p w14:paraId="2DA09BD1" w14:textId="4F0D4230" w:rsidR="00384070" w:rsidRDefault="00306AFE" w:rsidP="00332B77">
      <w:pPr>
        <w:pStyle w:val="Tekst-1"/>
        <w:rPr>
          <w:lang w:val="sr-Latn-RS"/>
        </w:rPr>
      </w:pPr>
      <w:r w:rsidRPr="00306AFE">
        <w:rPr>
          <w:lang w:val="sr-Latn-RS"/>
        </w:rPr>
        <w:t xml:space="preserve">На </w:t>
      </w:r>
      <w:r w:rsidR="00332B77">
        <w:t>подручју ЛАГ</w:t>
      </w:r>
      <w:r w:rsidRPr="00306AFE">
        <w:rPr>
          <w:lang w:val="sr-Latn-RS"/>
        </w:rPr>
        <w:t xml:space="preserve"> просечна средња годишња температура износи 10,1ºС. На основу података Метеоролошке станице у Блацу</w:t>
      </w:r>
      <w:r w:rsidR="00332B77">
        <w:t xml:space="preserve"> и Прокупљу</w:t>
      </w:r>
      <w:r w:rsidRPr="00306AFE">
        <w:rPr>
          <w:lang w:val="sr-Latn-RS"/>
        </w:rPr>
        <w:t>, у следећој табели су дате средње месечне температуре ваздуха:</w:t>
      </w:r>
    </w:p>
    <w:p w14:paraId="4AB10008" w14:textId="713DE8D2" w:rsidR="00332B77" w:rsidRPr="00332B77" w:rsidRDefault="00332B77" w:rsidP="00332B77">
      <w:pPr>
        <w:pStyle w:val="a0"/>
      </w:pPr>
      <w:r w:rsidRPr="00332B77">
        <w:t>Табела</w:t>
      </w:r>
      <w:r w:rsidR="00941E80">
        <w:t xml:space="preserve"> 2.</w:t>
      </w:r>
      <w:r w:rsidRPr="00332B77">
        <w:t xml:space="preserve"> Просечна температура ваздуха </w:t>
      </w:r>
      <w:r w:rsidR="00002BC4">
        <w:t xml:space="preserve">подручја Партерства, </w:t>
      </w:r>
      <w:r w:rsidRPr="00332B77">
        <w:t>по месецима</w:t>
      </w:r>
      <w:r>
        <w:t xml:space="preserve"> (</w:t>
      </w:r>
      <w:r w:rsidRPr="00384070">
        <w:t xml:space="preserve">Извор података: Републички </w:t>
      </w:r>
      <w:r w:rsidRPr="00332B77">
        <w:t>хидрометеоролошки</w:t>
      </w:r>
      <w:r w:rsidRPr="00384070">
        <w:t xml:space="preserve"> завод</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6"/>
        <w:gridCol w:w="585"/>
        <w:gridCol w:w="585"/>
        <w:gridCol w:w="585"/>
        <w:gridCol w:w="585"/>
        <w:gridCol w:w="677"/>
        <w:gridCol w:w="677"/>
        <w:gridCol w:w="677"/>
        <w:gridCol w:w="678"/>
        <w:gridCol w:w="677"/>
        <w:gridCol w:w="585"/>
        <w:gridCol w:w="585"/>
        <w:gridCol w:w="602"/>
        <w:gridCol w:w="693"/>
      </w:tblGrid>
      <w:tr w:rsidR="00332B77" w:rsidRPr="003A23F7" w14:paraId="75AA31E6" w14:textId="77777777" w:rsidTr="003A23F7">
        <w:tc>
          <w:tcPr>
            <w:tcW w:w="855" w:type="dxa"/>
            <w:shd w:val="clear" w:color="auto" w:fill="9CC2E5" w:themeFill="accent5" w:themeFillTint="99"/>
            <w:vAlign w:val="bottom"/>
            <w:hideMark/>
          </w:tcPr>
          <w:p w14:paraId="05867599" w14:textId="17FFB23B" w:rsidR="00384070" w:rsidRPr="003A23F7" w:rsidRDefault="00332B77" w:rsidP="00384070">
            <w:pPr>
              <w:spacing w:after="0" w:line="240" w:lineRule="auto"/>
              <w:rPr>
                <w:rFonts w:ascii="Times New Roman" w:eastAsia="Times New Roman" w:hAnsi="Times New Roman" w:cs="Times New Roman"/>
                <w:b/>
                <w:bCs/>
                <w:color w:val="0A0A0A"/>
                <w:sz w:val="24"/>
                <w:szCs w:val="24"/>
                <w:lang w:val="sr-Cyrl-RS"/>
              </w:rPr>
            </w:pPr>
            <w:r w:rsidRPr="003A23F7">
              <w:rPr>
                <w:rFonts w:ascii="Times New Roman" w:eastAsia="Times New Roman" w:hAnsi="Times New Roman" w:cs="Times New Roman"/>
                <w:b/>
                <w:bCs/>
                <w:color w:val="0A0A0A"/>
                <w:sz w:val="24"/>
                <w:szCs w:val="24"/>
                <w:lang w:val="sr-Cyrl-RS"/>
              </w:rPr>
              <w:t>Месец</w:t>
            </w:r>
          </w:p>
        </w:tc>
        <w:tc>
          <w:tcPr>
            <w:tcW w:w="600" w:type="dxa"/>
            <w:shd w:val="clear" w:color="auto" w:fill="9CC2E5" w:themeFill="accent5" w:themeFillTint="99"/>
            <w:vAlign w:val="bottom"/>
            <w:hideMark/>
          </w:tcPr>
          <w:p w14:paraId="125A2BCD"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I</w:t>
            </w:r>
          </w:p>
        </w:tc>
        <w:tc>
          <w:tcPr>
            <w:tcW w:w="600" w:type="dxa"/>
            <w:shd w:val="clear" w:color="auto" w:fill="9CC2E5" w:themeFill="accent5" w:themeFillTint="99"/>
            <w:vAlign w:val="bottom"/>
            <w:hideMark/>
          </w:tcPr>
          <w:p w14:paraId="284F1A4F"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II</w:t>
            </w:r>
          </w:p>
        </w:tc>
        <w:tc>
          <w:tcPr>
            <w:tcW w:w="600" w:type="dxa"/>
            <w:shd w:val="clear" w:color="auto" w:fill="9CC2E5" w:themeFill="accent5" w:themeFillTint="99"/>
            <w:vAlign w:val="bottom"/>
            <w:hideMark/>
          </w:tcPr>
          <w:p w14:paraId="7DB1236F"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III</w:t>
            </w:r>
          </w:p>
        </w:tc>
        <w:tc>
          <w:tcPr>
            <w:tcW w:w="600" w:type="dxa"/>
            <w:shd w:val="clear" w:color="auto" w:fill="9CC2E5" w:themeFill="accent5" w:themeFillTint="99"/>
            <w:vAlign w:val="bottom"/>
            <w:hideMark/>
          </w:tcPr>
          <w:p w14:paraId="0FA95842"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IV</w:t>
            </w:r>
          </w:p>
        </w:tc>
        <w:tc>
          <w:tcPr>
            <w:tcW w:w="690" w:type="dxa"/>
            <w:shd w:val="clear" w:color="auto" w:fill="9CC2E5" w:themeFill="accent5" w:themeFillTint="99"/>
            <w:vAlign w:val="bottom"/>
            <w:hideMark/>
          </w:tcPr>
          <w:p w14:paraId="6EAB8410"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V</w:t>
            </w:r>
          </w:p>
        </w:tc>
        <w:tc>
          <w:tcPr>
            <w:tcW w:w="690" w:type="dxa"/>
            <w:shd w:val="clear" w:color="auto" w:fill="9CC2E5" w:themeFill="accent5" w:themeFillTint="99"/>
            <w:vAlign w:val="bottom"/>
            <w:hideMark/>
          </w:tcPr>
          <w:p w14:paraId="44F63A78"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VI</w:t>
            </w:r>
          </w:p>
        </w:tc>
        <w:tc>
          <w:tcPr>
            <w:tcW w:w="690" w:type="dxa"/>
            <w:shd w:val="clear" w:color="auto" w:fill="9CC2E5" w:themeFill="accent5" w:themeFillTint="99"/>
            <w:vAlign w:val="bottom"/>
            <w:hideMark/>
          </w:tcPr>
          <w:p w14:paraId="352DF3B9"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VII</w:t>
            </w:r>
          </w:p>
        </w:tc>
        <w:tc>
          <w:tcPr>
            <w:tcW w:w="690" w:type="dxa"/>
            <w:shd w:val="clear" w:color="auto" w:fill="9CC2E5" w:themeFill="accent5" w:themeFillTint="99"/>
            <w:vAlign w:val="bottom"/>
            <w:hideMark/>
          </w:tcPr>
          <w:p w14:paraId="3EEBC9C9"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VIII</w:t>
            </w:r>
          </w:p>
        </w:tc>
        <w:tc>
          <w:tcPr>
            <w:tcW w:w="690" w:type="dxa"/>
            <w:shd w:val="clear" w:color="auto" w:fill="9CC2E5" w:themeFill="accent5" w:themeFillTint="99"/>
            <w:vAlign w:val="bottom"/>
            <w:hideMark/>
          </w:tcPr>
          <w:p w14:paraId="76A90C18"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IX</w:t>
            </w:r>
          </w:p>
        </w:tc>
        <w:tc>
          <w:tcPr>
            <w:tcW w:w="600" w:type="dxa"/>
            <w:shd w:val="clear" w:color="auto" w:fill="9CC2E5" w:themeFill="accent5" w:themeFillTint="99"/>
            <w:vAlign w:val="bottom"/>
            <w:hideMark/>
          </w:tcPr>
          <w:p w14:paraId="4E41DA05"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X</w:t>
            </w:r>
          </w:p>
        </w:tc>
        <w:tc>
          <w:tcPr>
            <w:tcW w:w="600" w:type="dxa"/>
            <w:shd w:val="clear" w:color="auto" w:fill="9CC2E5" w:themeFill="accent5" w:themeFillTint="99"/>
            <w:vAlign w:val="bottom"/>
            <w:hideMark/>
          </w:tcPr>
          <w:p w14:paraId="4F55E1D5"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XI</w:t>
            </w:r>
          </w:p>
        </w:tc>
        <w:tc>
          <w:tcPr>
            <w:tcW w:w="615" w:type="dxa"/>
            <w:shd w:val="clear" w:color="auto" w:fill="9CC2E5" w:themeFill="accent5" w:themeFillTint="99"/>
            <w:vAlign w:val="bottom"/>
            <w:hideMark/>
          </w:tcPr>
          <w:p w14:paraId="2CC5976D"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XII</w:t>
            </w:r>
          </w:p>
        </w:tc>
        <w:tc>
          <w:tcPr>
            <w:tcW w:w="705" w:type="dxa"/>
            <w:shd w:val="clear" w:color="auto" w:fill="9CC2E5" w:themeFill="accent5" w:themeFillTint="99"/>
            <w:vAlign w:val="bottom"/>
            <w:hideMark/>
          </w:tcPr>
          <w:p w14:paraId="334EEB6B" w14:textId="77777777" w:rsidR="00384070" w:rsidRPr="003A23F7" w:rsidRDefault="00384070" w:rsidP="00384070">
            <w:pPr>
              <w:spacing w:after="0" w:line="240" w:lineRule="auto"/>
              <w:rPr>
                <w:rFonts w:ascii="Times New Roman" w:eastAsia="Times New Roman" w:hAnsi="Times New Roman" w:cs="Times New Roman"/>
                <w:b/>
                <w:bCs/>
                <w:color w:val="0A0A0A"/>
                <w:sz w:val="24"/>
                <w:szCs w:val="24"/>
              </w:rPr>
            </w:pPr>
            <w:r w:rsidRPr="003A23F7">
              <w:rPr>
                <w:rFonts w:ascii="Times New Roman" w:eastAsia="Times New Roman" w:hAnsi="Times New Roman" w:cs="Times New Roman"/>
                <w:b/>
                <w:bCs/>
                <w:color w:val="0A0A0A"/>
                <w:sz w:val="24"/>
                <w:szCs w:val="24"/>
              </w:rPr>
              <w:t>Год.</w:t>
            </w:r>
          </w:p>
        </w:tc>
      </w:tr>
      <w:tr w:rsidR="00332B77" w:rsidRPr="00384070" w14:paraId="7A09ADD0" w14:textId="77777777" w:rsidTr="00332B77">
        <w:tc>
          <w:tcPr>
            <w:tcW w:w="855" w:type="dxa"/>
            <w:shd w:val="clear" w:color="auto" w:fill="FFFFFF"/>
            <w:vAlign w:val="bottom"/>
            <w:hideMark/>
          </w:tcPr>
          <w:p w14:paraId="1D493014"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T,</w:t>
            </w:r>
            <w:r w:rsidRPr="00384070">
              <w:rPr>
                <w:rFonts w:ascii="Times New Roman" w:eastAsia="Times New Roman" w:hAnsi="Times New Roman" w:cs="Times New Roman"/>
                <w:color w:val="0A0A0A"/>
                <w:sz w:val="24"/>
                <w:szCs w:val="24"/>
                <w:bdr w:val="none" w:sz="0" w:space="0" w:color="auto" w:frame="1"/>
                <w:vertAlign w:val="superscript"/>
              </w:rPr>
              <w:t>o</w:t>
            </w:r>
            <w:r w:rsidRPr="00384070">
              <w:rPr>
                <w:rFonts w:ascii="Times New Roman" w:eastAsia="Times New Roman" w:hAnsi="Times New Roman" w:cs="Times New Roman"/>
                <w:color w:val="0A0A0A"/>
                <w:sz w:val="24"/>
                <w:szCs w:val="24"/>
              </w:rPr>
              <w:t>C</w:t>
            </w:r>
          </w:p>
        </w:tc>
        <w:tc>
          <w:tcPr>
            <w:tcW w:w="600" w:type="dxa"/>
            <w:shd w:val="clear" w:color="auto" w:fill="FFFFFF"/>
            <w:vAlign w:val="bottom"/>
            <w:hideMark/>
          </w:tcPr>
          <w:p w14:paraId="1BC63BEB"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-0,6</w:t>
            </w:r>
          </w:p>
        </w:tc>
        <w:tc>
          <w:tcPr>
            <w:tcW w:w="600" w:type="dxa"/>
            <w:shd w:val="clear" w:color="auto" w:fill="FFFFFF"/>
            <w:vAlign w:val="bottom"/>
            <w:hideMark/>
          </w:tcPr>
          <w:p w14:paraId="1EF5793E"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0,5</w:t>
            </w:r>
          </w:p>
        </w:tc>
        <w:tc>
          <w:tcPr>
            <w:tcW w:w="600" w:type="dxa"/>
            <w:shd w:val="clear" w:color="auto" w:fill="FFFFFF"/>
            <w:vAlign w:val="bottom"/>
            <w:hideMark/>
          </w:tcPr>
          <w:p w14:paraId="4A391551"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4,4</w:t>
            </w:r>
          </w:p>
        </w:tc>
        <w:tc>
          <w:tcPr>
            <w:tcW w:w="600" w:type="dxa"/>
            <w:shd w:val="clear" w:color="auto" w:fill="FFFFFF"/>
            <w:vAlign w:val="bottom"/>
            <w:hideMark/>
          </w:tcPr>
          <w:p w14:paraId="0AF39D72"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9,2</w:t>
            </w:r>
          </w:p>
        </w:tc>
        <w:tc>
          <w:tcPr>
            <w:tcW w:w="690" w:type="dxa"/>
            <w:shd w:val="clear" w:color="auto" w:fill="FFFFFF"/>
            <w:vAlign w:val="bottom"/>
            <w:hideMark/>
          </w:tcPr>
          <w:p w14:paraId="3EEBC9CC"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13,3</w:t>
            </w:r>
          </w:p>
        </w:tc>
        <w:tc>
          <w:tcPr>
            <w:tcW w:w="690" w:type="dxa"/>
            <w:shd w:val="clear" w:color="auto" w:fill="FFFFFF"/>
            <w:vAlign w:val="bottom"/>
            <w:hideMark/>
          </w:tcPr>
          <w:p w14:paraId="76A97777"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16,8</w:t>
            </w:r>
          </w:p>
        </w:tc>
        <w:tc>
          <w:tcPr>
            <w:tcW w:w="690" w:type="dxa"/>
            <w:shd w:val="clear" w:color="auto" w:fill="FFFFFF"/>
            <w:vAlign w:val="bottom"/>
            <w:hideMark/>
          </w:tcPr>
          <w:p w14:paraId="5E5900B2"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20,8</w:t>
            </w:r>
          </w:p>
        </w:tc>
        <w:tc>
          <w:tcPr>
            <w:tcW w:w="690" w:type="dxa"/>
            <w:shd w:val="clear" w:color="auto" w:fill="FFFFFF"/>
            <w:vAlign w:val="bottom"/>
            <w:hideMark/>
          </w:tcPr>
          <w:p w14:paraId="177C9F3B"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19,7</w:t>
            </w:r>
          </w:p>
        </w:tc>
        <w:tc>
          <w:tcPr>
            <w:tcW w:w="690" w:type="dxa"/>
            <w:shd w:val="clear" w:color="auto" w:fill="FFFFFF"/>
            <w:vAlign w:val="bottom"/>
            <w:hideMark/>
          </w:tcPr>
          <w:p w14:paraId="22F569DC"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14,2</w:t>
            </w:r>
          </w:p>
        </w:tc>
        <w:tc>
          <w:tcPr>
            <w:tcW w:w="600" w:type="dxa"/>
            <w:shd w:val="clear" w:color="auto" w:fill="FFFFFF"/>
            <w:vAlign w:val="bottom"/>
            <w:hideMark/>
          </w:tcPr>
          <w:p w14:paraId="3BEAE514"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9,8</w:t>
            </w:r>
          </w:p>
        </w:tc>
        <w:tc>
          <w:tcPr>
            <w:tcW w:w="600" w:type="dxa"/>
            <w:shd w:val="clear" w:color="auto" w:fill="FFFFFF"/>
            <w:vAlign w:val="bottom"/>
            <w:hideMark/>
          </w:tcPr>
          <w:p w14:paraId="3D630708"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4,0</w:t>
            </w:r>
          </w:p>
        </w:tc>
        <w:tc>
          <w:tcPr>
            <w:tcW w:w="615" w:type="dxa"/>
            <w:shd w:val="clear" w:color="auto" w:fill="FFFFFF"/>
            <w:vAlign w:val="bottom"/>
            <w:hideMark/>
          </w:tcPr>
          <w:p w14:paraId="1B11A4C9"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1,6</w:t>
            </w:r>
          </w:p>
        </w:tc>
        <w:tc>
          <w:tcPr>
            <w:tcW w:w="705" w:type="dxa"/>
            <w:shd w:val="clear" w:color="auto" w:fill="FFFFFF"/>
            <w:vAlign w:val="bottom"/>
            <w:hideMark/>
          </w:tcPr>
          <w:p w14:paraId="0EEB758F" w14:textId="77777777" w:rsidR="00384070" w:rsidRPr="00384070" w:rsidRDefault="00384070" w:rsidP="00384070">
            <w:pPr>
              <w:spacing w:after="0" w:line="240" w:lineRule="auto"/>
              <w:rPr>
                <w:rFonts w:ascii="Times New Roman" w:eastAsia="Times New Roman" w:hAnsi="Times New Roman" w:cs="Times New Roman"/>
                <w:color w:val="0A0A0A"/>
                <w:sz w:val="24"/>
                <w:szCs w:val="24"/>
              </w:rPr>
            </w:pPr>
            <w:r w:rsidRPr="00384070">
              <w:rPr>
                <w:rFonts w:ascii="Times New Roman" w:eastAsia="Times New Roman" w:hAnsi="Times New Roman" w:cs="Times New Roman"/>
                <w:color w:val="0A0A0A"/>
                <w:sz w:val="24"/>
                <w:szCs w:val="24"/>
              </w:rPr>
              <w:t>10,1</w:t>
            </w:r>
          </w:p>
        </w:tc>
      </w:tr>
    </w:tbl>
    <w:p w14:paraId="055E119F" w14:textId="77777777" w:rsidR="00332B77" w:rsidRDefault="00384070" w:rsidP="00332B77">
      <w:pPr>
        <w:pStyle w:val="Tekst-1"/>
      </w:pPr>
      <w:r w:rsidRPr="00384070">
        <w:t xml:space="preserve">Поднебље </w:t>
      </w:r>
      <w:r w:rsidR="00332B77">
        <w:t xml:space="preserve">се </w:t>
      </w:r>
      <w:r w:rsidRPr="00384070">
        <w:t>одликује хладним зимама, незнатно топлијим јесенима</w:t>
      </w:r>
      <w:r w:rsidR="00332B77">
        <w:t xml:space="preserve"> и</w:t>
      </w:r>
      <w:r w:rsidRPr="00384070">
        <w:t xml:space="preserve"> пролећима</w:t>
      </w:r>
      <w:r w:rsidR="00332B77">
        <w:t>,</w:t>
      </w:r>
      <w:r w:rsidRPr="00384070">
        <w:t xml:space="preserve"> и умерено топлим летима, па дужина вегетационог периода износи од 220 до 240 дана. У вишим деловима</w:t>
      </w:r>
      <w:r w:rsidR="00332B77">
        <w:t xml:space="preserve"> </w:t>
      </w:r>
      <w:r w:rsidRPr="00384070">
        <w:t>снежни покривач се дуже задржава, па су зиме оштрије. Лета су овде због веће апсолутне висине и пошумљености знатно свежија.</w:t>
      </w:r>
    </w:p>
    <w:p w14:paraId="2AB8788E" w14:textId="393AF8CD" w:rsidR="00384070" w:rsidRDefault="00332B77" w:rsidP="00332B77">
      <w:pPr>
        <w:pStyle w:val="Tekst-1"/>
      </w:pPr>
      <w:r>
        <w:t xml:space="preserve">Подручје </w:t>
      </w:r>
      <w:r w:rsidR="00384070" w:rsidRPr="00384070">
        <w:t xml:space="preserve">красе природне лепоте и знаменитости које су од велике важности за даљи развој као </w:t>
      </w:r>
      <w:r>
        <w:t xml:space="preserve">привредно – </w:t>
      </w:r>
      <w:r w:rsidR="00384070" w:rsidRPr="00384070">
        <w:t>туристичког подручја и за које је потребно пуно подршке и помоћи како би</w:t>
      </w:r>
      <w:r>
        <w:t xml:space="preserve"> </w:t>
      </w:r>
      <w:r w:rsidR="00384070" w:rsidRPr="00384070">
        <w:t>с</w:t>
      </w:r>
      <w:r>
        <w:t>е</w:t>
      </w:r>
      <w:r w:rsidR="00384070" w:rsidRPr="00384070">
        <w:t xml:space="preserve"> реализовал</w:t>
      </w:r>
      <w:r>
        <w:t>и</w:t>
      </w:r>
      <w:r w:rsidR="00384070" w:rsidRPr="00384070">
        <w:t xml:space="preserve"> планове везане за њих.</w:t>
      </w:r>
    </w:p>
    <w:p w14:paraId="2667A7EA" w14:textId="5ED9192F" w:rsidR="009D0566" w:rsidRPr="00384070" w:rsidRDefault="009D0566" w:rsidP="009D0566">
      <w:pPr>
        <w:pStyle w:val="Tekst-1"/>
      </w:pPr>
      <w:r>
        <w:t>Шумско богатство је изузетно важан природни ресурс и квалитетно пољопривредно земљиште које представља важан потенцијал, поготово при планирању и развијању пољопривредних грана. Подручје ЛАГ Јастребчанка је посебно богато биљним и животињским светом који прати климатске прилике овог подручја.</w:t>
      </w:r>
    </w:p>
    <w:p w14:paraId="4203FA57" w14:textId="1B464AC1" w:rsidR="00327E96" w:rsidRDefault="00327E96" w:rsidP="00327E96">
      <w:pPr>
        <w:pStyle w:val="Tekst-1"/>
      </w:pPr>
      <w:r>
        <w:t>Изузетно богат водни потенцијал – сагледан преко термоминералних подземних и текућих вода, као и вештачких брана са одређеним капацитетом воде (брана Бресница, брана на Растовничкој реци, бунари на локацији званој Хисар, хидроакумулација Придворица, као и мала акумулација Попова на реци Блаташници, која је запуштена и повремено проузрокује поплаве насеља која се налазе у њеној непосредној близини).</w:t>
      </w:r>
    </w:p>
    <w:p w14:paraId="427993D1" w14:textId="72AE8841" w:rsidR="00327E96" w:rsidRDefault="00327E96" w:rsidP="00F9556F">
      <w:pPr>
        <w:pStyle w:val="Tekst-1"/>
      </w:pPr>
      <w:r w:rsidRPr="00327E96">
        <w:t>Водени токови обухватају реку Топлицу, али и бројне мање водотокове (речица Блаташница која припада сливу Расине, Барбатовачку, Јошаничку, као и Растовничку реку). Посебну хидролошку појаву представља Блачко језеро, површине око 12ха, које се напаја подземним водама Блаташнице и које је већим делом зарасло у шевар и трску, па представља типичан пример мочваре у изумирању. Лежи јужно од насеља Блаце, на надморској висини од 385м, облика благо извијеног полукруга, дужине око 800м и највеће ширине до 200м.</w:t>
      </w:r>
      <w:r>
        <w:t xml:space="preserve"> Блаташница је најпознатија притока Расине, која извире на падинама Великог Јастребца испод врха Црна Чука (871м). На свом току Блаташница прима притоке са Великог Јастребца и копаоничких огранака Лепенца и Јаворца. Њене најзначајније леве притоке су Трбуњска и Сибничка река, а десне Пребреза и Џепница.</w:t>
      </w:r>
    </w:p>
    <w:p w14:paraId="4DA6F6C8" w14:textId="06E8D982" w:rsidR="009D0566" w:rsidRDefault="003856CF" w:rsidP="009D0566">
      <w:pPr>
        <w:pStyle w:val="Tekst-1"/>
      </w:pPr>
      <w:r>
        <w:lastRenderedPageBreak/>
        <w:t xml:space="preserve">Природне карактеристике, насеља са концентрисаном изградњом у највећем делу </w:t>
      </w:r>
      <w:r w:rsidR="009D0566">
        <w:t>подручја ЛАГ</w:t>
      </w:r>
      <w:r>
        <w:t xml:space="preserve">, пољопривредна оријентација и низак ниво развијености осталих грана привреде, као и релативно ниска изграђеност простора и инфраструктурих објеката, условили су добар и очуван квалитет основних елемената животне средине на </w:t>
      </w:r>
      <w:r w:rsidR="009D0566">
        <w:t xml:space="preserve">посматраној </w:t>
      </w:r>
      <w:r>
        <w:t xml:space="preserve">територији. Иако се на територији </w:t>
      </w:r>
      <w:r w:rsidR="009D0566">
        <w:t>ЛАГ</w:t>
      </w:r>
      <w:r>
        <w:t xml:space="preserve"> не врше систематска мерења квалитета ваздуха и површинских и подземних вода, може се регистровати да они испуњавају законски прописане стандарде, уз констатацију перманентне опасности од загађивања површинских водотокова и подземних вода (плитких издани у равничарским теренима), као последица упуштања непречишћених атмосферских, комуналних и индустријских отпадних вода у природне реципијенте, услед недовољне изграђености канализационе инфраструктуре и непостојања санитарно уређених септичких јама у сеоским домаћинствима</w:t>
      </w:r>
      <w:r w:rsidR="009D0566">
        <w:t>, као ни</w:t>
      </w:r>
      <w:r>
        <w:t xml:space="preserve"> постројењ</w:t>
      </w:r>
      <w:r w:rsidR="00D661E7">
        <w:t>а за пречишћавање отпадних вода.</w:t>
      </w:r>
    </w:p>
    <w:p w14:paraId="39F1DFD5" w14:textId="77777777" w:rsidR="009D0566" w:rsidRDefault="003856CF" w:rsidP="009D0566">
      <w:pPr>
        <w:pStyle w:val="Tekst-1"/>
      </w:pPr>
      <w:r>
        <w:t xml:space="preserve">Отпадне воде </w:t>
      </w:r>
      <w:r w:rsidR="009D0566">
        <w:t xml:space="preserve">у овом делу подручја ЛАГ </w:t>
      </w:r>
      <w:r>
        <w:t>се данас изливају у реку Блаташницу без икаквог третмана преко уређаја за пречишћавање отпадних вода, који након престанка рада 1986. године, никада више није стављен у функцију.</w:t>
      </w:r>
    </w:p>
    <w:p w14:paraId="3262261E" w14:textId="3B90B80F" w:rsidR="003856CF" w:rsidRDefault="003856CF" w:rsidP="009D0566">
      <w:pPr>
        <w:pStyle w:val="Tekst-1"/>
      </w:pPr>
      <w:r>
        <w:t xml:space="preserve">У протеклом периоду нарасла је потреба за даљим развојем постојеће инфраструктуре насеља, а тиме и канализационе мреже. У циљу испуњења захтева у погледу екологије, заштите животне средине и заштите постојећих изворишта водоснабдевања, неопходно је у што краћем периоду дефинисати даљи развој система за каналисање и система за пречишћавање. Овде се првенсвено истичу захтеви заштите реке Блаташнице и акумулације „Ћелије“, обзиром да је ово подручје под посебном заштитом као извориште за регионално водоснабдевање („Сл. гласник РС“, бр. 46/91). </w:t>
      </w:r>
    </w:p>
    <w:p w14:paraId="6DD5749D" w14:textId="46D4A6E3" w:rsidR="003856CF" w:rsidRDefault="003856CF" w:rsidP="009D0566">
      <w:pPr>
        <w:pStyle w:val="Tekst-1"/>
      </w:pPr>
      <w:r>
        <w:t xml:space="preserve">Капацитети извора са којих се сеоско становништво индивидуално снабдева водом </w:t>
      </w:r>
      <w:r w:rsidR="009D0566">
        <w:t xml:space="preserve">на територији ЛАГ </w:t>
      </w:r>
      <w:r>
        <w:t>за сада нису познати.</w:t>
      </w:r>
      <w:r w:rsidR="009D0566">
        <w:t xml:space="preserve"> Такође, н</w:t>
      </w:r>
      <w:r>
        <w:t xml:space="preserve">ису познати </w:t>
      </w:r>
      <w:r w:rsidR="009D0566">
        <w:t xml:space="preserve">прецизни </w:t>
      </w:r>
      <w:r>
        <w:t>п</w:t>
      </w:r>
      <w:r w:rsidR="00D661E7">
        <w:t>одаци о губицима у индустрији и</w:t>
      </w:r>
      <w:r>
        <w:t xml:space="preserve"> у домаћ</w:t>
      </w:r>
      <w:r w:rsidR="00D661E7">
        <w:t>инствима.</w:t>
      </w:r>
    </w:p>
    <w:p w14:paraId="6BE1C8EB" w14:textId="408C0B84" w:rsidR="005C417A" w:rsidRPr="005C417A" w:rsidRDefault="005C417A" w:rsidP="005C417A">
      <w:pPr>
        <w:pStyle w:val="-3"/>
      </w:pPr>
      <w:bookmarkStart w:id="8" w:name="_Toc55208022"/>
      <w:r>
        <w:t>Историјски контекст подручја</w:t>
      </w:r>
      <w:bookmarkEnd w:id="8"/>
    </w:p>
    <w:p w14:paraId="31DE6202" w14:textId="77777777" w:rsidR="00E64F2B" w:rsidRDefault="00E64F2B" w:rsidP="005C417A">
      <w:pPr>
        <w:pStyle w:val="Tekst-1"/>
        <w:rPr>
          <w:shd w:val="clear" w:color="auto" w:fill="FFFFFF"/>
        </w:rPr>
      </w:pPr>
      <w:r>
        <w:rPr>
          <w:shd w:val="clear" w:color="auto" w:fill="FFFFFF"/>
        </w:rPr>
        <w:t xml:space="preserve">Плодно тле, идеална надморска висина, рудно богатство, богатство термалних и минералних извора, долинске </w:t>
      </w:r>
      <w:r w:rsidRPr="00E64F2B">
        <w:t>равнице</w:t>
      </w:r>
      <w:r>
        <w:rPr>
          <w:shd w:val="clear" w:color="auto" w:fill="FFFFFF"/>
        </w:rPr>
        <w:t xml:space="preserve"> и брдовито залеђе са многобројним могућностима експлоатације, врло рано су привукли праисторијске заједнице да на таквим изузетно погодним местима заснују своја станишта што је и потврђено археолошким истраживањима.</w:t>
      </w:r>
    </w:p>
    <w:p w14:paraId="232B5E69" w14:textId="473E08A4" w:rsidR="005C417A" w:rsidRPr="005C417A" w:rsidRDefault="005C417A" w:rsidP="005C417A">
      <w:pPr>
        <w:pStyle w:val="Tekst-1"/>
      </w:pPr>
      <w:r w:rsidRPr="005C417A">
        <w:t xml:space="preserve">На основу предања, али пре свега материјалних доказа, може се претпоставити да је овај крај </w:t>
      </w:r>
      <w:r>
        <w:t xml:space="preserve">који захвата највећи део подручја ЛАГ </w:t>
      </w:r>
      <w:r w:rsidRPr="005C417A">
        <w:t>у прошлости имао значајну улогу, а сасвим сигурно богату и бурну историју.</w:t>
      </w:r>
    </w:p>
    <w:p w14:paraId="4502277A" w14:textId="77777777" w:rsidR="005C417A" w:rsidRDefault="005C417A" w:rsidP="005C417A">
      <w:pPr>
        <w:pStyle w:val="Tekst-1"/>
        <w:rPr>
          <w:bdr w:val="none" w:sz="0" w:space="0" w:color="auto" w:frame="1"/>
        </w:rPr>
      </w:pPr>
      <w:r w:rsidRPr="005C417A">
        <w:t>Полазећи у бој на </w:t>
      </w:r>
      <w:r w:rsidRPr="005C417A">
        <w:rPr>
          <w:bdr w:val="none" w:sz="0" w:space="0" w:color="auto" w:frame="1"/>
        </w:rPr>
        <w:t>Косово Кнез Лазар морао је проћи кроз Јанкову клисуру, а затим преко подручја Блаца према Куршумлији и Подујеву. Јанкова клисура је и добила име према Сибињанин Јанку, прослављеног и у нашим народним песмама.</w:t>
      </w:r>
    </w:p>
    <w:p w14:paraId="1242BE76" w14:textId="2E938C52" w:rsidR="008C7C39" w:rsidRDefault="008C7C39" w:rsidP="008C7C39">
      <w:pPr>
        <w:pStyle w:val="-2"/>
      </w:pPr>
      <w:bookmarkStart w:id="9" w:name="_Toc55208023"/>
      <w:r>
        <w:t>б) Привредне карактеристике подручја</w:t>
      </w:r>
      <w:bookmarkEnd w:id="9"/>
    </w:p>
    <w:p w14:paraId="6CB17764" w14:textId="296E38F5" w:rsidR="00EF3F4D" w:rsidRDefault="00EF3F4D" w:rsidP="00EF3F4D">
      <w:pPr>
        <w:pStyle w:val="Tekst-1"/>
      </w:pPr>
      <w:r w:rsidRPr="00EF3F4D">
        <w:t>Најзна</w:t>
      </w:r>
      <w:r>
        <w:t>ч</w:t>
      </w:r>
      <w:r w:rsidRPr="00EF3F4D">
        <w:t>ајније привредне активн</w:t>
      </w:r>
      <w:r>
        <w:t>о</w:t>
      </w:r>
      <w:r w:rsidRPr="00EF3F4D">
        <w:t xml:space="preserve">сти </w:t>
      </w:r>
      <w:r w:rsidR="00F97E41">
        <w:t>подручја ЛАГ</w:t>
      </w:r>
      <w:r w:rsidR="00D661E7">
        <w:t>-а</w:t>
      </w:r>
      <w:r w:rsidRPr="00EF3F4D">
        <w:t xml:space="preserve"> у к</w:t>
      </w:r>
      <w:r>
        <w:t>о</w:t>
      </w:r>
      <w:r w:rsidRPr="00EF3F4D">
        <w:t xml:space="preserve">јима грађани и предузећа </w:t>
      </w:r>
      <w:r>
        <w:t>о</w:t>
      </w:r>
      <w:r w:rsidRPr="00EF3F4D">
        <w:t>стварују д</w:t>
      </w:r>
      <w:r>
        <w:t>о</w:t>
      </w:r>
      <w:r w:rsidRPr="00EF3F4D">
        <w:t>х</w:t>
      </w:r>
      <w:r>
        <w:t>о</w:t>
      </w:r>
      <w:r w:rsidRPr="00EF3F4D">
        <w:t xml:space="preserve">дак су: </w:t>
      </w:r>
      <w:r>
        <w:t>пољопривреда</w:t>
      </w:r>
      <w:r w:rsidRPr="00EF3F4D">
        <w:t xml:space="preserve"> (</w:t>
      </w:r>
      <w:r>
        <w:t>воћарство</w:t>
      </w:r>
      <w:r w:rsidRPr="00EF3F4D">
        <w:t>, ст</w:t>
      </w:r>
      <w:r>
        <w:t>оч</w:t>
      </w:r>
      <w:r w:rsidRPr="00EF3F4D">
        <w:t>арств</w:t>
      </w:r>
      <w:r>
        <w:t>о</w:t>
      </w:r>
      <w:r w:rsidRPr="00EF3F4D">
        <w:t>, ратарств</w:t>
      </w:r>
      <w:r>
        <w:t>о</w:t>
      </w:r>
      <w:r w:rsidRPr="00EF3F4D">
        <w:t xml:space="preserve">, </w:t>
      </w:r>
      <w:r>
        <w:t>о</w:t>
      </w:r>
      <w:r w:rsidRPr="00EF3F4D">
        <w:t>рганска п</w:t>
      </w:r>
      <w:r>
        <w:t>о</w:t>
      </w:r>
      <w:r w:rsidRPr="00EF3F4D">
        <w:t>љ</w:t>
      </w:r>
      <w:r>
        <w:t>о</w:t>
      </w:r>
      <w:r w:rsidRPr="00EF3F4D">
        <w:t>привреда), агр</w:t>
      </w:r>
      <w:r>
        <w:t>о</w:t>
      </w:r>
      <w:r w:rsidRPr="00EF3F4D">
        <w:t>индустрија (прерада в</w:t>
      </w:r>
      <w:r>
        <w:t>о</w:t>
      </w:r>
      <w:r w:rsidRPr="00EF3F4D">
        <w:t xml:space="preserve">ћа, </w:t>
      </w:r>
      <w:r w:rsidR="00F97E41">
        <w:t xml:space="preserve">виноградарство, </w:t>
      </w:r>
      <w:r w:rsidRPr="00EF3F4D">
        <w:t>прерада млека, млинск</w:t>
      </w:r>
      <w:r>
        <w:t>о</w:t>
      </w:r>
      <w:r w:rsidRPr="00EF3F4D">
        <w:t xml:space="preserve">-пекарска индустрија), </w:t>
      </w:r>
      <w:r>
        <w:t>грађевинарство</w:t>
      </w:r>
      <w:r w:rsidRPr="00EF3F4D">
        <w:t xml:space="preserve">, </w:t>
      </w:r>
      <w:r>
        <w:t>трговина</w:t>
      </w:r>
      <w:r w:rsidRPr="00EF3F4D">
        <w:t>, туризам, уг</w:t>
      </w:r>
      <w:r>
        <w:t>о</w:t>
      </w:r>
      <w:r w:rsidRPr="00EF3F4D">
        <w:t>ститељств</w:t>
      </w:r>
      <w:r>
        <w:t>о</w:t>
      </w:r>
      <w:r w:rsidRPr="00EF3F4D">
        <w:t xml:space="preserve"> и услужне делатн</w:t>
      </w:r>
      <w:r>
        <w:t>о</w:t>
      </w:r>
      <w:r w:rsidRPr="00EF3F4D">
        <w:t xml:space="preserve">сти, </w:t>
      </w:r>
      <w:r w:rsidR="0034701B">
        <w:t xml:space="preserve">производња и промет моторних </w:t>
      </w:r>
      <w:r w:rsidRPr="00EF3F4D">
        <w:t xml:space="preserve">уља и мазива, </w:t>
      </w:r>
      <w:r w:rsidRPr="00EF3F4D">
        <w:lastRenderedPageBreak/>
        <w:t>текстилна индустрија и трик</w:t>
      </w:r>
      <w:r w:rsidR="0034701B">
        <w:t>о</w:t>
      </w:r>
      <w:r w:rsidRPr="00EF3F4D">
        <w:t>тажа, гумарска индустрија. На терит</w:t>
      </w:r>
      <w:r w:rsidR="0034701B">
        <w:t>о</w:t>
      </w:r>
      <w:r w:rsidRPr="00EF3F4D">
        <w:t xml:space="preserve">рији </w:t>
      </w:r>
      <w:r w:rsidR="0034701B">
        <w:t>подручја које покрива партнерство</w:t>
      </w:r>
      <w:r w:rsidRPr="00EF3F4D">
        <w:t xml:space="preserve"> активн</w:t>
      </w:r>
      <w:r w:rsidR="0034701B">
        <w:t>о</w:t>
      </w:r>
      <w:r w:rsidRPr="00EF3F4D">
        <w:t xml:space="preserve"> ради </w:t>
      </w:r>
      <w:r w:rsidR="0034701B">
        <w:t>196</w:t>
      </w:r>
      <w:r w:rsidRPr="00EF3F4D">
        <w:t xml:space="preserve"> малих и сред</w:t>
      </w:r>
      <w:r w:rsidR="0034701B">
        <w:t>њ</w:t>
      </w:r>
      <w:r w:rsidRPr="00EF3F4D">
        <w:t xml:space="preserve">их предузећа, </w:t>
      </w:r>
      <w:r w:rsidR="0034701B">
        <w:t>547</w:t>
      </w:r>
      <w:r w:rsidRPr="00EF3F4D">
        <w:t xml:space="preserve"> </w:t>
      </w:r>
      <w:r w:rsidR="0034701B">
        <w:t>предузетничких</w:t>
      </w:r>
      <w:r w:rsidRPr="00EF3F4D">
        <w:t xml:space="preserve"> рад</w:t>
      </w:r>
      <w:r w:rsidR="0034701B">
        <w:t>њ</w:t>
      </w:r>
      <w:r w:rsidRPr="00EF3F4D">
        <w:t>и свих врста делатн</w:t>
      </w:r>
      <w:r w:rsidR="0034701B">
        <w:t>о</w:t>
      </w:r>
      <w:r w:rsidRPr="00EF3F4D">
        <w:t xml:space="preserve">сти и </w:t>
      </w:r>
      <w:r w:rsidR="0034701B">
        <w:t xml:space="preserve">неколико десетина </w:t>
      </w:r>
      <w:r w:rsidRPr="00EF3F4D">
        <w:t>издв</w:t>
      </w:r>
      <w:r w:rsidR="0034701B">
        <w:t>о</w:t>
      </w:r>
      <w:r w:rsidRPr="00EF3F4D">
        <w:t xml:space="preserve">јених </w:t>
      </w:r>
      <w:r w:rsidR="0034701B">
        <w:t>просторија</w:t>
      </w:r>
      <w:r w:rsidRPr="00EF3F4D">
        <w:t xml:space="preserve"> </w:t>
      </w:r>
      <w:r w:rsidR="0034701B">
        <w:t>радњи</w:t>
      </w:r>
      <w:r w:rsidRPr="00EF3F4D">
        <w:t xml:space="preserve"> и предузећа са седи</w:t>
      </w:r>
      <w:r w:rsidR="00893763">
        <w:t>ш</w:t>
      </w:r>
      <w:r w:rsidRPr="00EF3F4D">
        <w:t xml:space="preserve">тем у </w:t>
      </w:r>
      <w:r w:rsidR="0034701B">
        <w:t>околним</w:t>
      </w:r>
      <w:r w:rsidRPr="00EF3F4D">
        <w:t xml:space="preserve"> </w:t>
      </w:r>
      <w:r w:rsidR="0034701B">
        <w:t>општинама</w:t>
      </w:r>
      <w:r w:rsidRPr="00EF3F4D">
        <w:t>.</w:t>
      </w:r>
    </w:p>
    <w:p w14:paraId="5BB26FFE" w14:textId="41E76CBA" w:rsidR="00FB02FB" w:rsidRDefault="00FB02FB" w:rsidP="00FB02FB">
      <w:pPr>
        <w:pStyle w:val="Tekst-1"/>
      </w:pPr>
      <w:r>
        <w:rPr>
          <w:lang w:val="en-US"/>
        </w:rPr>
        <w:t>У Прокупљ</w:t>
      </w:r>
      <w:r>
        <w:t>у</w:t>
      </w:r>
      <w:r w:rsidRPr="00FB02FB">
        <w:rPr>
          <w:lang w:val="en-US"/>
        </w:rPr>
        <w:t>, према званичним подацима из пописа пољопривреде који је Републички завод за статистику спровео 2012. године, 5.531 газдинство користи пољопривредно земљиште. У највећем броју имају оранице и баште, односно најчешће гаје пшеницу и крупник (њих 3.446), а затим кукуруз за зрно – 3.263 газдинства. Према броју следе пољопривредна домаћинства која производе кромпир – 1.661, детелину - 1.122 и црни лук (975).</w:t>
      </w:r>
      <w:r>
        <w:t xml:space="preserve"> </w:t>
      </w:r>
      <w:r w:rsidRPr="00FB02FB">
        <w:rPr>
          <w:lang w:val="en-US"/>
        </w:rPr>
        <w:t>Највећи број газдинстава су породична (99,69%), а остало су правна лица.Укупно 534 газдинства бави се ратарством и сталним засадима, њих 1.158 специјализовано је за воће, међутим највише је оних који се баве различитим комбинацијама усева и стоке (1.415).</w:t>
      </w:r>
    </w:p>
    <w:p w14:paraId="12F15B0D" w14:textId="77777777" w:rsidR="00EC1485" w:rsidRPr="00EC1485" w:rsidRDefault="00EC1485" w:rsidP="00EC1485">
      <w:pPr>
        <w:pStyle w:val="Tekst-1"/>
        <w:rPr>
          <w:lang w:val="en-US"/>
        </w:rPr>
      </w:pPr>
      <w:r w:rsidRPr="00EC1485">
        <w:rPr>
          <w:bCs/>
          <w:lang w:val="en-US"/>
        </w:rPr>
        <w:t xml:space="preserve">Диверзификација руралне економије: </w:t>
      </w:r>
      <w:r w:rsidRPr="00EC1485">
        <w:rPr>
          <w:lang w:val="en-US"/>
        </w:rPr>
        <w:t>Газдинства према другим профитабилним активностима у вези  са газдинством : Град-Прокупље (пољопривредна газдинства)</w:t>
      </w:r>
    </w:p>
    <w:p w14:paraId="474E548D" w14:textId="263BF2AE" w:rsidR="00EC1485" w:rsidRDefault="00EC1485" w:rsidP="00EC1485">
      <w:pPr>
        <w:pStyle w:val="Tekst-1"/>
        <w:rPr>
          <w:lang w:val="en-US"/>
        </w:rPr>
      </w:pPr>
      <w:r w:rsidRPr="00EC1485">
        <w:rPr>
          <w:lang w:val="en-US"/>
        </w:rPr>
        <w:t>Укупно-414; Прерада меса-28;Прерада млека-241;Прерада воћа и поврћа-105;</w:t>
      </w:r>
      <w:r w:rsidRPr="00EC1485">
        <w:rPr>
          <w:lang w:val="sr-Latn-RS"/>
        </w:rPr>
        <w:t xml:space="preserve"> </w:t>
      </w:r>
      <w:r w:rsidRPr="00EC1485">
        <w:rPr>
          <w:lang w:val="en-US"/>
        </w:rPr>
        <w:t xml:space="preserve">Прерада других пољопривредних производа-30; Обрада дрвета-14 ;Активности у шумарству-22; Туризам- 2; Народна радиност-4; Производња енергије и обновљивих избора-1; Узгој рибе-2; Рад на основу уговора у области пољопривреде -19; Рад на основу уговора у другој области -2. </w:t>
      </w:r>
    </w:p>
    <w:p w14:paraId="64D9B4F5" w14:textId="77777777" w:rsidR="003E2CA5" w:rsidRDefault="003E2CA5" w:rsidP="00EC1485">
      <w:pPr>
        <w:pStyle w:val="Tekst-1"/>
      </w:pPr>
    </w:p>
    <w:p w14:paraId="7277484A" w14:textId="62527E27" w:rsidR="00EC1485" w:rsidRPr="00EC1485" w:rsidRDefault="00EC1485" w:rsidP="003E2CA5">
      <w:pPr>
        <w:pStyle w:val="a0"/>
      </w:pPr>
      <w:r w:rsidRPr="00EC1485">
        <w:rPr>
          <w:lang w:val="en-US"/>
        </w:rPr>
        <w:t xml:space="preserve"> </w:t>
      </w:r>
      <w:r w:rsidRPr="00EC1485">
        <w:t xml:space="preserve">Број пољопривредних газдинства за 2019, расположиво земљиште пољопривредних газдинстава и коришћено пољопривредно земљиште газдинства по категоријама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66"/>
        <w:gridCol w:w="1172"/>
        <w:gridCol w:w="780"/>
        <w:gridCol w:w="1039"/>
        <w:gridCol w:w="1159"/>
        <w:gridCol w:w="1172"/>
        <w:gridCol w:w="984"/>
        <w:gridCol w:w="587"/>
        <w:gridCol w:w="968"/>
      </w:tblGrid>
      <w:tr w:rsidR="00EC1485" w:rsidRPr="00EC1485" w14:paraId="35FC0B93" w14:textId="77777777" w:rsidTr="003E2CA5">
        <w:trPr>
          <w:cantSplit/>
        </w:trPr>
        <w:tc>
          <w:tcPr>
            <w:tcW w:w="1566" w:type="dxa"/>
            <w:tcBorders>
              <w:top w:val="single" w:sz="6" w:space="0" w:color="000000"/>
              <w:left w:val="single" w:sz="6" w:space="0" w:color="000000"/>
              <w:bottom w:val="single" w:sz="6" w:space="0" w:color="000000"/>
              <w:right w:val="single" w:sz="6" w:space="0" w:color="000000"/>
            </w:tcBorders>
            <w:shd w:val="clear" w:color="auto" w:fill="FFFFFF"/>
            <w:hideMark/>
          </w:tcPr>
          <w:p w14:paraId="19437ED4"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Број пољопривредних газдинства</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14:paraId="4D654F93"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породична пољопривредна газдинства</w:t>
            </w:r>
          </w:p>
        </w:tc>
        <w:tc>
          <w:tcPr>
            <w:tcW w:w="955" w:type="dxa"/>
            <w:tcBorders>
              <w:top w:val="single" w:sz="6" w:space="0" w:color="000000"/>
              <w:left w:val="single" w:sz="6" w:space="0" w:color="000000"/>
              <w:bottom w:val="single" w:sz="6" w:space="0" w:color="000000"/>
              <w:right w:val="single" w:sz="6" w:space="0" w:color="000000"/>
            </w:tcBorders>
            <w:shd w:val="clear" w:color="auto" w:fill="FFFFFF"/>
            <w:hideMark/>
          </w:tcPr>
          <w:p w14:paraId="42AA9BF6"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 xml:space="preserve">предузећа   </w:t>
            </w:r>
          </w:p>
        </w:tc>
        <w:tc>
          <w:tcPr>
            <w:tcW w:w="1281" w:type="dxa"/>
            <w:tcBorders>
              <w:top w:val="single" w:sz="6" w:space="0" w:color="000000"/>
              <w:left w:val="single" w:sz="6" w:space="0" w:color="000000"/>
              <w:bottom w:val="single" w:sz="6" w:space="0" w:color="000000"/>
              <w:right w:val="single" w:sz="6" w:space="0" w:color="000000"/>
            </w:tcBorders>
            <w:shd w:val="clear" w:color="auto" w:fill="FFFFFF"/>
            <w:hideMark/>
          </w:tcPr>
          <w:p w14:paraId="262DF2E0"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предузетници</w:t>
            </w:r>
          </w:p>
        </w:tc>
        <w:tc>
          <w:tcPr>
            <w:tcW w:w="1431" w:type="dxa"/>
            <w:tcBorders>
              <w:top w:val="single" w:sz="6" w:space="0" w:color="000000"/>
              <w:left w:val="single" w:sz="6" w:space="0" w:color="000000"/>
              <w:bottom w:val="single" w:sz="6" w:space="0" w:color="000000"/>
              <w:right w:val="single" w:sz="6" w:space="0" w:color="000000"/>
            </w:tcBorders>
            <w:shd w:val="clear" w:color="auto" w:fill="FFFFFF"/>
            <w:hideMark/>
          </w:tcPr>
          <w:p w14:paraId="4BCB524B"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земљорадничка задруга</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14:paraId="5220D5B2"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пољопривредна газдинства са статусом правног лица</w:t>
            </w:r>
          </w:p>
        </w:tc>
        <w:tc>
          <w:tcPr>
            <w:tcW w:w="1212" w:type="dxa"/>
            <w:tcBorders>
              <w:top w:val="single" w:sz="6" w:space="0" w:color="000000"/>
              <w:left w:val="single" w:sz="6" w:space="0" w:color="000000"/>
              <w:bottom w:val="single" w:sz="6" w:space="0" w:color="000000"/>
              <w:right w:val="single" w:sz="6" w:space="0" w:color="000000"/>
            </w:tcBorders>
            <w:shd w:val="clear" w:color="auto" w:fill="FFFFFF"/>
            <w:hideMark/>
          </w:tcPr>
          <w:p w14:paraId="50B2EE52"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научно истаживачке организације</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7B6DA5C3"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укупно</w:t>
            </w:r>
          </w:p>
        </w:tc>
        <w:tc>
          <w:tcPr>
            <w:tcW w:w="1191" w:type="dxa"/>
            <w:tcBorders>
              <w:top w:val="single" w:sz="6" w:space="0" w:color="000000"/>
              <w:left w:val="single" w:sz="6" w:space="0" w:color="000000"/>
              <w:bottom w:val="single" w:sz="6" w:space="0" w:color="000000"/>
              <w:right w:val="single" w:sz="6" w:space="0" w:color="000000"/>
            </w:tcBorders>
            <w:shd w:val="clear" w:color="auto" w:fill="FFFFFF"/>
            <w:hideMark/>
          </w:tcPr>
          <w:p w14:paraId="387D3236"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актвна дoмаћинства  укупно</w:t>
            </w:r>
          </w:p>
        </w:tc>
      </w:tr>
      <w:tr w:rsidR="00EC1485" w:rsidRPr="00EC1485" w14:paraId="490CE786" w14:textId="77777777" w:rsidTr="003E2CA5">
        <w:trPr>
          <w:cantSplit/>
        </w:trPr>
        <w:tc>
          <w:tcPr>
            <w:tcW w:w="1566" w:type="dxa"/>
            <w:tcBorders>
              <w:top w:val="single" w:sz="6" w:space="0" w:color="000000"/>
              <w:left w:val="single" w:sz="6" w:space="0" w:color="000000"/>
              <w:bottom w:val="single" w:sz="6" w:space="0" w:color="000000"/>
              <w:right w:val="single" w:sz="6" w:space="0" w:color="000000"/>
            </w:tcBorders>
            <w:shd w:val="clear" w:color="auto" w:fill="FFFFFF"/>
          </w:tcPr>
          <w:p w14:paraId="2154C498"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14:paraId="4C06CBEB"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3.165</w:t>
            </w:r>
          </w:p>
        </w:tc>
        <w:tc>
          <w:tcPr>
            <w:tcW w:w="955" w:type="dxa"/>
            <w:tcBorders>
              <w:top w:val="single" w:sz="6" w:space="0" w:color="000000"/>
              <w:left w:val="single" w:sz="6" w:space="0" w:color="000000"/>
              <w:bottom w:val="single" w:sz="6" w:space="0" w:color="000000"/>
              <w:right w:val="single" w:sz="6" w:space="0" w:color="000000"/>
            </w:tcBorders>
            <w:shd w:val="clear" w:color="auto" w:fill="FFFFFF"/>
            <w:hideMark/>
          </w:tcPr>
          <w:p w14:paraId="3BC9C1E6"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12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hideMark/>
          </w:tcPr>
          <w:p w14:paraId="462071FD"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6</w:t>
            </w:r>
          </w:p>
        </w:tc>
        <w:tc>
          <w:tcPr>
            <w:tcW w:w="1431" w:type="dxa"/>
            <w:tcBorders>
              <w:top w:val="single" w:sz="6" w:space="0" w:color="000000"/>
              <w:left w:val="single" w:sz="6" w:space="0" w:color="000000"/>
              <w:bottom w:val="single" w:sz="6" w:space="0" w:color="000000"/>
              <w:right w:val="single" w:sz="6" w:space="0" w:color="000000"/>
            </w:tcBorders>
            <w:shd w:val="clear" w:color="auto" w:fill="FFFFFF"/>
            <w:hideMark/>
          </w:tcPr>
          <w:p w14:paraId="65C1E427"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1</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14:paraId="5A5AA5ED"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 xml:space="preserve"> 1</w:t>
            </w:r>
          </w:p>
        </w:tc>
        <w:tc>
          <w:tcPr>
            <w:tcW w:w="1212" w:type="dxa"/>
            <w:tcBorders>
              <w:top w:val="single" w:sz="6" w:space="0" w:color="000000"/>
              <w:left w:val="single" w:sz="6" w:space="0" w:color="000000"/>
              <w:bottom w:val="single" w:sz="6" w:space="0" w:color="000000"/>
              <w:right w:val="single" w:sz="6" w:space="0" w:color="000000"/>
            </w:tcBorders>
            <w:shd w:val="clear" w:color="auto" w:fill="FFFFFF"/>
            <w:hideMark/>
          </w:tcPr>
          <w:p w14:paraId="629C554E"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1</w:t>
            </w:r>
          </w:p>
        </w:tc>
        <w:tc>
          <w:tcPr>
            <w:tcW w:w="712" w:type="dxa"/>
            <w:tcBorders>
              <w:top w:val="single" w:sz="6" w:space="0" w:color="000000"/>
              <w:left w:val="single" w:sz="6" w:space="0" w:color="000000"/>
              <w:bottom w:val="single" w:sz="6" w:space="0" w:color="000000"/>
              <w:right w:val="single" w:sz="6" w:space="0" w:color="000000"/>
            </w:tcBorders>
            <w:shd w:val="clear" w:color="auto" w:fill="FFFFFF"/>
            <w:hideMark/>
          </w:tcPr>
          <w:p w14:paraId="228173DE"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3.186</w:t>
            </w:r>
          </w:p>
        </w:tc>
        <w:tc>
          <w:tcPr>
            <w:tcW w:w="1191" w:type="dxa"/>
            <w:tcBorders>
              <w:top w:val="single" w:sz="6" w:space="0" w:color="000000"/>
              <w:left w:val="single" w:sz="6" w:space="0" w:color="000000"/>
              <w:bottom w:val="single" w:sz="6" w:space="0" w:color="000000"/>
              <w:right w:val="single" w:sz="6" w:space="0" w:color="000000"/>
            </w:tcBorders>
            <w:shd w:val="clear" w:color="auto" w:fill="FFFFFF"/>
            <w:hideMark/>
          </w:tcPr>
          <w:p w14:paraId="5B46E004" w14:textId="77777777" w:rsidR="00EC1485" w:rsidRPr="00EC1485" w:rsidRDefault="00EC1485" w:rsidP="00EC1485">
            <w:pPr>
              <w:spacing w:after="0" w:line="240" w:lineRule="auto"/>
              <w:jc w:val="center"/>
              <w:rPr>
                <w:rFonts w:ascii="Times New Roman" w:eastAsia="Times New Roman" w:hAnsi="Times New Roman" w:cs="Times New Roman"/>
                <w:sz w:val="20"/>
                <w:szCs w:val="20"/>
              </w:rPr>
            </w:pPr>
            <w:r w:rsidRPr="00EC1485">
              <w:rPr>
                <w:rFonts w:ascii="Times New Roman" w:eastAsia="Times New Roman" w:hAnsi="Times New Roman" w:cs="Times New Roman"/>
                <w:sz w:val="20"/>
                <w:szCs w:val="20"/>
              </w:rPr>
              <w:t>2.633</w:t>
            </w:r>
          </w:p>
        </w:tc>
      </w:tr>
    </w:tbl>
    <w:p w14:paraId="658D4C44" w14:textId="77777777" w:rsidR="00EC1485" w:rsidRPr="00EC1485" w:rsidRDefault="00EC1485" w:rsidP="00EC1485">
      <w:pPr>
        <w:pStyle w:val="Tekst-1"/>
        <w:rPr>
          <w:i/>
        </w:rPr>
      </w:pPr>
      <w:r w:rsidRPr="00EC1485">
        <w:rPr>
          <w:i/>
          <w:lang w:val="sr-Cyrl-CS"/>
        </w:rPr>
        <w:t xml:space="preserve">Извор </w:t>
      </w:r>
      <w:r w:rsidRPr="00EC1485">
        <w:rPr>
          <w:i/>
        </w:rPr>
        <w:t xml:space="preserve">Управа за </w:t>
      </w:r>
      <w:r w:rsidRPr="00EC1485">
        <w:rPr>
          <w:i/>
          <w:lang w:val="sr-Cyrl-CS"/>
        </w:rPr>
        <w:t>аграрна плаћања</w:t>
      </w:r>
    </w:p>
    <w:p w14:paraId="78B3C45C" w14:textId="77777777" w:rsidR="00EC1485" w:rsidRDefault="00EC1485" w:rsidP="00EC1485">
      <w:pPr>
        <w:pStyle w:val="Tekst-1"/>
        <w:rPr>
          <w:b/>
          <w:lang w:val="sr-Cyrl-CS"/>
        </w:rPr>
      </w:pPr>
    </w:p>
    <w:p w14:paraId="42AB5FCA" w14:textId="0F02CBD2" w:rsidR="00767AA1" w:rsidRDefault="00767AA1" w:rsidP="00EC1485">
      <w:pPr>
        <w:pStyle w:val="Tekst-1"/>
      </w:pPr>
      <w:r>
        <w:t>Пољппривредно земљищте у Општини Блаце од укупне ппврщине  (17.934 ha) брадиве ппврщине износе 86,88% или 15.578 ha. Обрадива ппврщина земљищта у општини подељена је  на 68.535 парцела, щто значи да је 1 hа обрадиве површине подељен на 4,4 парцеле. Ове површине земљишта су преко 99% у приватнпј својини. Приватном својином земљишта газдујеоко 4.873 дпмаћинстава, щто по једном дпмаћинству изнпси око 3,41 hа земљищта. На обрађеним поврщинама земљищта се гаје разлишите биљне културе, и то: Оранице и бащте: 10.848 hа на 40.847 парцела, Воћоаци: 3.251 hа на 20.655 парцела, Виногради: 387 hа на 4.536 парцела, Ливаде: 1.901 hа на 2.497 парцела.</w:t>
      </w:r>
    </w:p>
    <w:p w14:paraId="03837A48" w14:textId="7FEB80A4" w:rsidR="00535333" w:rsidRPr="00535333" w:rsidRDefault="00535333" w:rsidP="00EC1485">
      <w:pPr>
        <w:pStyle w:val="Tekst-1"/>
        <w:rPr>
          <w:lang w:val="sr-Cyrl-CS"/>
        </w:rPr>
      </w:pPr>
      <w:r w:rsidRPr="00535333">
        <w:rPr>
          <w:lang w:val="en-US"/>
        </w:rPr>
        <w:t>У општини Блаце регистровано је 2.242 пољопривредна газдинства, где је највећи број газдинстава са мање од три радно способна члана. Највећи број радно способног становништва у Блацу ради у оквиру пољопривредно-прерађивачких капацитета (млинско-пекарска индустрија; прерада млека; складиштење и прерада воћа). Други део становништва ради у т</w:t>
      </w:r>
      <w:r>
        <w:rPr>
          <w:lang w:val="en-US"/>
        </w:rPr>
        <w:t xml:space="preserve">екстилној индустрији </w:t>
      </w:r>
      <w:r w:rsidRPr="00535333">
        <w:rPr>
          <w:lang w:val="en-US"/>
        </w:rPr>
        <w:t xml:space="preserve">. Велики број становништва ради на </w:t>
      </w:r>
      <w:r w:rsidRPr="00535333">
        <w:rPr>
          <w:lang w:val="en-US"/>
        </w:rPr>
        <w:lastRenderedPageBreak/>
        <w:t>својим газдинствима у оквиру примарне пољопривредне производње. На индивидуалном сектору се обрађује 10.339ха пољоприведног земљишта, у 2.242 пољопривредна газдинства и то највећи број газдинстава обрађује површину од 1/2ха до 3ха обрадиве површине.</w:t>
      </w:r>
    </w:p>
    <w:p w14:paraId="6A8B8426" w14:textId="1B1B03C0" w:rsidR="00EC1485" w:rsidRPr="00EC1485" w:rsidRDefault="00EC1485" w:rsidP="00EC1485">
      <w:pPr>
        <w:pStyle w:val="Tekst-1"/>
      </w:pPr>
      <w:r w:rsidRPr="00EC1485">
        <w:rPr>
          <w:lang w:val="en-US"/>
        </w:rPr>
        <w:t xml:space="preserve">                                                  </w:t>
      </w:r>
    </w:p>
    <w:p w14:paraId="677F3CA9" w14:textId="77777777" w:rsidR="00FB02FB" w:rsidRPr="00FB02FB" w:rsidRDefault="00FB02FB" w:rsidP="00FB02FB">
      <w:pPr>
        <w:pStyle w:val="Tekst-1"/>
      </w:pPr>
    </w:p>
    <w:p w14:paraId="07646A25" w14:textId="77777777" w:rsidR="00FB02FB" w:rsidRDefault="00FB02FB" w:rsidP="00EF3F4D">
      <w:pPr>
        <w:pStyle w:val="Tekst-1"/>
      </w:pPr>
    </w:p>
    <w:p w14:paraId="46AC4C89" w14:textId="648C0433" w:rsidR="008F3B61" w:rsidRDefault="008F3B61" w:rsidP="00EF3F4D">
      <w:pPr>
        <w:pStyle w:val="Tekst-1"/>
      </w:pPr>
      <w:r w:rsidRPr="008F3B61">
        <w:t>Кључни проблеми садашњег развоја су поред незапослености, недовољна улагања и скромна буџетска средства, али и изражена депопулација и процес старења становништва, што је наглашеније на руралном подручју.</w:t>
      </w:r>
    </w:p>
    <w:p w14:paraId="136F1B77" w14:textId="474FBDD6" w:rsidR="008C7C39" w:rsidRDefault="008C7C39" w:rsidP="008C7C39">
      <w:pPr>
        <w:pStyle w:val="a0"/>
      </w:pPr>
      <w:r w:rsidRPr="004748E1">
        <w:t xml:space="preserve">Табела </w:t>
      </w:r>
      <w:r w:rsidR="00941E80">
        <w:t>3</w:t>
      </w:r>
      <w:r w:rsidRPr="004748E1">
        <w:t>. Просечне бруто зараде [РСД]</w:t>
      </w:r>
    </w:p>
    <w:tbl>
      <w:tblPr>
        <w:tblStyle w:val="TableGrid"/>
        <w:tblW w:w="5000" w:type="pct"/>
        <w:tblLook w:val="04A0" w:firstRow="1" w:lastRow="0" w:firstColumn="1" w:lastColumn="0" w:noHBand="0" w:noVBand="1"/>
      </w:tblPr>
      <w:tblGrid>
        <w:gridCol w:w="1583"/>
        <w:gridCol w:w="766"/>
        <w:gridCol w:w="766"/>
        <w:gridCol w:w="766"/>
        <w:gridCol w:w="766"/>
        <w:gridCol w:w="766"/>
        <w:gridCol w:w="766"/>
        <w:gridCol w:w="766"/>
        <w:gridCol w:w="766"/>
        <w:gridCol w:w="766"/>
        <w:gridCol w:w="766"/>
      </w:tblGrid>
      <w:tr w:rsidR="008C7C39" w:rsidRPr="008C7C39" w14:paraId="53D43832" w14:textId="77777777" w:rsidTr="003A23F7">
        <w:tc>
          <w:tcPr>
            <w:tcW w:w="2250" w:type="dxa"/>
            <w:tcBorders>
              <w:top w:val="nil"/>
              <w:left w:val="nil"/>
            </w:tcBorders>
          </w:tcPr>
          <w:p w14:paraId="75620720" w14:textId="77777777" w:rsidR="008C7C39" w:rsidRPr="008C7C39" w:rsidRDefault="008C7C39" w:rsidP="003F6DA8">
            <w:pPr>
              <w:rPr>
                <w:rFonts w:ascii="Times New Roman" w:hAnsi="Times New Roman" w:cs="Times New Roman"/>
              </w:rPr>
            </w:pPr>
          </w:p>
        </w:tc>
        <w:tc>
          <w:tcPr>
            <w:tcW w:w="7380" w:type="dxa"/>
            <w:gridSpan w:val="10"/>
            <w:shd w:val="clear" w:color="auto" w:fill="9CC2E5" w:themeFill="accent5" w:themeFillTint="99"/>
          </w:tcPr>
          <w:p w14:paraId="4CB8424C" w14:textId="240C953C" w:rsidR="008C7C39" w:rsidRPr="003A23F7" w:rsidRDefault="008C7C39" w:rsidP="003F6DA8">
            <w:pPr>
              <w:jc w:val="center"/>
              <w:rPr>
                <w:rFonts w:ascii="Times New Roman" w:hAnsi="Times New Roman" w:cs="Times New Roman"/>
                <w:b/>
                <w:bCs/>
                <w:lang w:val="sr-Cyrl-RS"/>
              </w:rPr>
            </w:pPr>
            <w:r w:rsidRPr="003A23F7">
              <w:rPr>
                <w:rFonts w:ascii="Times New Roman" w:hAnsi="Times New Roman" w:cs="Times New Roman"/>
                <w:b/>
                <w:bCs/>
                <w:lang w:val="sr-Cyrl-RS"/>
              </w:rPr>
              <w:t>Период</w:t>
            </w:r>
          </w:p>
        </w:tc>
      </w:tr>
      <w:tr w:rsidR="008C7C39" w:rsidRPr="008C7C39" w14:paraId="5BC25A74" w14:textId="77777777" w:rsidTr="003A23F7">
        <w:tc>
          <w:tcPr>
            <w:tcW w:w="2250" w:type="dxa"/>
            <w:shd w:val="clear" w:color="auto" w:fill="9CC2E5" w:themeFill="accent5" w:themeFillTint="99"/>
          </w:tcPr>
          <w:p w14:paraId="0F7CC729" w14:textId="77777777" w:rsidR="008C7C39" w:rsidRPr="003A23F7" w:rsidRDefault="008C7C39"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485" w:type="dxa"/>
          </w:tcPr>
          <w:p w14:paraId="40F12013"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2010</w:t>
            </w:r>
          </w:p>
        </w:tc>
        <w:tc>
          <w:tcPr>
            <w:tcW w:w="766" w:type="dxa"/>
          </w:tcPr>
          <w:p w14:paraId="7D684ADF"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2011</w:t>
            </w:r>
          </w:p>
        </w:tc>
        <w:tc>
          <w:tcPr>
            <w:tcW w:w="766" w:type="dxa"/>
          </w:tcPr>
          <w:p w14:paraId="250D4247"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2012</w:t>
            </w:r>
          </w:p>
        </w:tc>
        <w:tc>
          <w:tcPr>
            <w:tcW w:w="766" w:type="dxa"/>
          </w:tcPr>
          <w:p w14:paraId="08B45B9D"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2013</w:t>
            </w:r>
          </w:p>
        </w:tc>
        <w:tc>
          <w:tcPr>
            <w:tcW w:w="766" w:type="dxa"/>
          </w:tcPr>
          <w:p w14:paraId="0A2B43E5"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2014</w:t>
            </w:r>
          </w:p>
        </w:tc>
        <w:tc>
          <w:tcPr>
            <w:tcW w:w="766" w:type="dxa"/>
          </w:tcPr>
          <w:p w14:paraId="38D861F6"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2015</w:t>
            </w:r>
          </w:p>
        </w:tc>
        <w:tc>
          <w:tcPr>
            <w:tcW w:w="767" w:type="dxa"/>
          </w:tcPr>
          <w:p w14:paraId="6032F5EE"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2016</w:t>
            </w:r>
          </w:p>
        </w:tc>
        <w:tc>
          <w:tcPr>
            <w:tcW w:w="766" w:type="dxa"/>
          </w:tcPr>
          <w:p w14:paraId="1E1183F4"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2017</w:t>
            </w:r>
          </w:p>
        </w:tc>
        <w:tc>
          <w:tcPr>
            <w:tcW w:w="766" w:type="dxa"/>
          </w:tcPr>
          <w:p w14:paraId="20FFEEF9"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2018</w:t>
            </w:r>
          </w:p>
        </w:tc>
        <w:tc>
          <w:tcPr>
            <w:tcW w:w="766" w:type="dxa"/>
          </w:tcPr>
          <w:p w14:paraId="157F9D4D" w14:textId="77777777" w:rsidR="008C7C39" w:rsidRPr="008C7C39" w:rsidRDefault="008C7C39" w:rsidP="003F6DA8">
            <w:pPr>
              <w:rPr>
                <w:rFonts w:ascii="Times New Roman" w:hAnsi="Times New Roman" w:cs="Times New Roman"/>
                <w:lang w:val="sr-Cyrl-RS"/>
              </w:rPr>
            </w:pPr>
            <w:r w:rsidRPr="008C7C39">
              <w:rPr>
                <w:rFonts w:ascii="Times New Roman" w:hAnsi="Times New Roman" w:cs="Times New Roman"/>
                <w:lang w:val="sr-Cyrl-RS"/>
              </w:rPr>
              <w:t>2019</w:t>
            </w:r>
          </w:p>
        </w:tc>
      </w:tr>
      <w:tr w:rsidR="008C7C39" w:rsidRPr="008C7C39" w14:paraId="5F42CA1A" w14:textId="77777777" w:rsidTr="003A23F7">
        <w:tc>
          <w:tcPr>
            <w:tcW w:w="2250" w:type="dxa"/>
            <w:shd w:val="clear" w:color="auto" w:fill="9CC2E5" w:themeFill="accent5" w:themeFillTint="99"/>
          </w:tcPr>
          <w:p w14:paraId="4A14F8EB" w14:textId="77777777" w:rsidR="008C7C39" w:rsidRPr="003A23F7" w:rsidRDefault="008C7C39" w:rsidP="003F6DA8">
            <w:pPr>
              <w:rPr>
                <w:rFonts w:ascii="Times New Roman" w:hAnsi="Times New Roman" w:cs="Times New Roman"/>
                <w:b/>
                <w:bCs/>
              </w:rPr>
            </w:pPr>
            <w:r w:rsidRPr="003A23F7">
              <w:rPr>
                <w:rFonts w:ascii="Times New Roman" w:hAnsi="Times New Roman" w:cs="Times New Roman"/>
                <w:b/>
                <w:bCs/>
              </w:rPr>
              <w:t>Прокупље</w:t>
            </w:r>
          </w:p>
        </w:tc>
        <w:tc>
          <w:tcPr>
            <w:tcW w:w="485" w:type="dxa"/>
          </w:tcPr>
          <w:p w14:paraId="219E34FA"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35849</w:t>
            </w:r>
          </w:p>
        </w:tc>
        <w:tc>
          <w:tcPr>
            <w:tcW w:w="766" w:type="dxa"/>
          </w:tcPr>
          <w:p w14:paraId="4D6319FC"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38251</w:t>
            </w:r>
          </w:p>
        </w:tc>
        <w:tc>
          <w:tcPr>
            <w:tcW w:w="766" w:type="dxa"/>
          </w:tcPr>
          <w:p w14:paraId="6DE8B71B"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43133</w:t>
            </w:r>
          </w:p>
        </w:tc>
        <w:tc>
          <w:tcPr>
            <w:tcW w:w="766" w:type="dxa"/>
          </w:tcPr>
          <w:p w14:paraId="13C5697E"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46769</w:t>
            </w:r>
          </w:p>
        </w:tc>
        <w:tc>
          <w:tcPr>
            <w:tcW w:w="766" w:type="dxa"/>
          </w:tcPr>
          <w:p w14:paraId="176CC2CB"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46791</w:t>
            </w:r>
          </w:p>
        </w:tc>
        <w:tc>
          <w:tcPr>
            <w:tcW w:w="766" w:type="dxa"/>
          </w:tcPr>
          <w:p w14:paraId="4279AC2E"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45874</w:t>
            </w:r>
          </w:p>
        </w:tc>
        <w:tc>
          <w:tcPr>
            <w:tcW w:w="767" w:type="dxa"/>
          </w:tcPr>
          <w:p w14:paraId="50CF30A9"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47102</w:t>
            </w:r>
          </w:p>
        </w:tc>
        <w:tc>
          <w:tcPr>
            <w:tcW w:w="766" w:type="dxa"/>
          </w:tcPr>
          <w:p w14:paraId="378A95F7"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48755</w:t>
            </w:r>
          </w:p>
        </w:tc>
        <w:tc>
          <w:tcPr>
            <w:tcW w:w="766" w:type="dxa"/>
          </w:tcPr>
          <w:p w14:paraId="5AA80503"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56606</w:t>
            </w:r>
          </w:p>
        </w:tc>
        <w:tc>
          <w:tcPr>
            <w:tcW w:w="766" w:type="dxa"/>
          </w:tcPr>
          <w:p w14:paraId="7AD52D96"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63293</w:t>
            </w:r>
          </w:p>
        </w:tc>
      </w:tr>
      <w:tr w:rsidR="008C7C39" w:rsidRPr="008C7C39" w14:paraId="702AE99F" w14:textId="77777777" w:rsidTr="003A23F7">
        <w:tc>
          <w:tcPr>
            <w:tcW w:w="2250" w:type="dxa"/>
            <w:shd w:val="clear" w:color="auto" w:fill="9CC2E5" w:themeFill="accent5" w:themeFillTint="99"/>
          </w:tcPr>
          <w:p w14:paraId="205035F8" w14:textId="77777777" w:rsidR="008C7C39" w:rsidRPr="003A23F7" w:rsidRDefault="008C7C39" w:rsidP="003F6DA8">
            <w:pPr>
              <w:rPr>
                <w:rFonts w:ascii="Times New Roman" w:hAnsi="Times New Roman" w:cs="Times New Roman"/>
                <w:b/>
                <w:bCs/>
              </w:rPr>
            </w:pPr>
            <w:r w:rsidRPr="003A23F7">
              <w:rPr>
                <w:rFonts w:ascii="Times New Roman" w:hAnsi="Times New Roman" w:cs="Times New Roman"/>
                <w:b/>
                <w:bCs/>
              </w:rPr>
              <w:t>Блаце</w:t>
            </w:r>
          </w:p>
        </w:tc>
        <w:tc>
          <w:tcPr>
            <w:tcW w:w="485" w:type="dxa"/>
          </w:tcPr>
          <w:p w14:paraId="40331B7F"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32836</w:t>
            </w:r>
          </w:p>
        </w:tc>
        <w:tc>
          <w:tcPr>
            <w:tcW w:w="766" w:type="dxa"/>
          </w:tcPr>
          <w:p w14:paraId="03B2BE04"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38015</w:t>
            </w:r>
          </w:p>
        </w:tc>
        <w:tc>
          <w:tcPr>
            <w:tcW w:w="766" w:type="dxa"/>
          </w:tcPr>
          <w:p w14:paraId="7B3061FC"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41937</w:t>
            </w:r>
          </w:p>
        </w:tc>
        <w:tc>
          <w:tcPr>
            <w:tcW w:w="766" w:type="dxa"/>
          </w:tcPr>
          <w:p w14:paraId="0A2C0C24"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43430</w:t>
            </w:r>
          </w:p>
        </w:tc>
        <w:tc>
          <w:tcPr>
            <w:tcW w:w="766" w:type="dxa"/>
          </w:tcPr>
          <w:p w14:paraId="56DA83D7"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42445</w:t>
            </w:r>
          </w:p>
        </w:tc>
        <w:tc>
          <w:tcPr>
            <w:tcW w:w="766" w:type="dxa"/>
          </w:tcPr>
          <w:p w14:paraId="1800A2E1"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45415</w:t>
            </w:r>
          </w:p>
        </w:tc>
        <w:tc>
          <w:tcPr>
            <w:tcW w:w="767" w:type="dxa"/>
          </w:tcPr>
          <w:p w14:paraId="6B75480F"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45183</w:t>
            </w:r>
          </w:p>
        </w:tc>
        <w:tc>
          <w:tcPr>
            <w:tcW w:w="766" w:type="dxa"/>
          </w:tcPr>
          <w:p w14:paraId="0D5A5BBE"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48529</w:t>
            </w:r>
          </w:p>
        </w:tc>
        <w:tc>
          <w:tcPr>
            <w:tcW w:w="766" w:type="dxa"/>
          </w:tcPr>
          <w:p w14:paraId="5E7E37E7"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52142</w:t>
            </w:r>
          </w:p>
        </w:tc>
        <w:tc>
          <w:tcPr>
            <w:tcW w:w="766" w:type="dxa"/>
          </w:tcPr>
          <w:p w14:paraId="2B337562"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56597</w:t>
            </w:r>
          </w:p>
        </w:tc>
      </w:tr>
      <w:tr w:rsidR="008C7C39" w:rsidRPr="008C7C39" w14:paraId="5B8A2C55" w14:textId="77777777" w:rsidTr="003A23F7">
        <w:tc>
          <w:tcPr>
            <w:tcW w:w="2250" w:type="dxa"/>
            <w:shd w:val="clear" w:color="auto" w:fill="9CC2E5" w:themeFill="accent5" w:themeFillTint="99"/>
          </w:tcPr>
          <w:p w14:paraId="39515B5E" w14:textId="77777777" w:rsidR="008C7C39" w:rsidRPr="003A23F7" w:rsidRDefault="008C7C39" w:rsidP="003F6DA8">
            <w:pPr>
              <w:rPr>
                <w:rFonts w:ascii="Times New Roman" w:hAnsi="Times New Roman" w:cs="Times New Roman"/>
                <w:b/>
                <w:bCs/>
                <w:lang w:val="sr-Cyrl-RS"/>
              </w:rPr>
            </w:pPr>
            <w:r w:rsidRPr="003A23F7">
              <w:rPr>
                <w:rFonts w:ascii="Times New Roman" w:hAnsi="Times New Roman" w:cs="Times New Roman"/>
                <w:b/>
                <w:bCs/>
                <w:lang w:val="sr-Cyrl-RS"/>
              </w:rPr>
              <w:t>Република Србија</w:t>
            </w:r>
          </w:p>
        </w:tc>
        <w:tc>
          <w:tcPr>
            <w:tcW w:w="485" w:type="dxa"/>
          </w:tcPr>
          <w:p w14:paraId="012B007D"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47450</w:t>
            </w:r>
          </w:p>
        </w:tc>
        <w:tc>
          <w:tcPr>
            <w:tcW w:w="766" w:type="dxa"/>
          </w:tcPr>
          <w:p w14:paraId="69BE7EFE"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52733</w:t>
            </w:r>
          </w:p>
        </w:tc>
        <w:tc>
          <w:tcPr>
            <w:tcW w:w="766" w:type="dxa"/>
          </w:tcPr>
          <w:p w14:paraId="4C1AD055"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57430</w:t>
            </w:r>
          </w:p>
        </w:tc>
        <w:tc>
          <w:tcPr>
            <w:tcW w:w="766" w:type="dxa"/>
          </w:tcPr>
          <w:p w14:paraId="3BB72E10"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60708</w:t>
            </w:r>
          </w:p>
        </w:tc>
        <w:tc>
          <w:tcPr>
            <w:tcW w:w="766" w:type="dxa"/>
          </w:tcPr>
          <w:p w14:paraId="7D6EE5D7"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61426</w:t>
            </w:r>
          </w:p>
        </w:tc>
        <w:tc>
          <w:tcPr>
            <w:tcW w:w="766" w:type="dxa"/>
          </w:tcPr>
          <w:p w14:paraId="227454A1"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61145</w:t>
            </w:r>
          </w:p>
        </w:tc>
        <w:tc>
          <w:tcPr>
            <w:tcW w:w="767" w:type="dxa"/>
          </w:tcPr>
          <w:p w14:paraId="63DF7123"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63474</w:t>
            </w:r>
          </w:p>
        </w:tc>
        <w:tc>
          <w:tcPr>
            <w:tcW w:w="766" w:type="dxa"/>
          </w:tcPr>
          <w:p w14:paraId="0E0444F4"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65976</w:t>
            </w:r>
          </w:p>
        </w:tc>
        <w:tc>
          <w:tcPr>
            <w:tcW w:w="766" w:type="dxa"/>
          </w:tcPr>
          <w:p w14:paraId="54D5F412"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68629</w:t>
            </w:r>
          </w:p>
        </w:tc>
        <w:tc>
          <w:tcPr>
            <w:tcW w:w="766" w:type="dxa"/>
          </w:tcPr>
          <w:p w14:paraId="2F012F8E" w14:textId="77777777" w:rsidR="008C7C39" w:rsidRPr="008C7C39" w:rsidRDefault="008C7C39" w:rsidP="003F6DA8">
            <w:pPr>
              <w:rPr>
                <w:rFonts w:ascii="Times New Roman" w:hAnsi="Times New Roman" w:cs="Times New Roman"/>
              </w:rPr>
            </w:pPr>
            <w:r w:rsidRPr="008C7C39">
              <w:rPr>
                <w:rFonts w:ascii="Times New Roman" w:hAnsi="Times New Roman" w:cs="Times New Roman"/>
              </w:rPr>
              <w:t>75814</w:t>
            </w:r>
          </w:p>
        </w:tc>
      </w:tr>
    </w:tbl>
    <w:p w14:paraId="287D7228" w14:textId="77777777" w:rsidR="008C7C39" w:rsidRPr="008C7C39" w:rsidRDefault="008C7C39" w:rsidP="008C7C39">
      <w:pPr>
        <w:jc w:val="right"/>
        <w:rPr>
          <w:rFonts w:ascii="Times New Roman" w:hAnsi="Times New Roman" w:cs="Times New Roman"/>
          <w:i/>
          <w:iCs/>
          <w:sz w:val="20"/>
          <w:szCs w:val="20"/>
          <w:lang w:val="sr-Cyrl-RS"/>
        </w:rPr>
      </w:pPr>
      <w:r w:rsidRPr="008C7C39">
        <w:rPr>
          <w:rFonts w:ascii="Times New Roman" w:hAnsi="Times New Roman" w:cs="Times New Roman"/>
          <w:i/>
          <w:iCs/>
          <w:sz w:val="20"/>
          <w:szCs w:val="20"/>
          <w:lang w:val="sr-Cyrl-RS"/>
        </w:rPr>
        <w:t>Извор: РЗС, СТАТ база, Тржиште рада, зараде (2010–2019).</w:t>
      </w:r>
    </w:p>
    <w:p w14:paraId="6F913EC5" w14:textId="66FD8620" w:rsidR="008C7C39" w:rsidRPr="007A03F2" w:rsidRDefault="008C7C39" w:rsidP="008C7C39">
      <w:pPr>
        <w:pStyle w:val="a0"/>
        <w:rPr>
          <w:szCs w:val="20"/>
        </w:rPr>
      </w:pPr>
      <w:r w:rsidRPr="007F2D0B">
        <w:rPr>
          <w:szCs w:val="20"/>
        </w:rPr>
        <w:t>График</w:t>
      </w:r>
      <w:r w:rsidR="00C66B80">
        <w:rPr>
          <w:szCs w:val="20"/>
        </w:rPr>
        <w:t>он 1.</w:t>
      </w:r>
      <w:r>
        <w:rPr>
          <w:szCs w:val="20"/>
        </w:rPr>
        <w:t xml:space="preserve"> </w:t>
      </w:r>
      <w:r w:rsidRPr="004748E1">
        <w:t>Просечне бруто зараде [РСД]</w:t>
      </w:r>
    </w:p>
    <w:p w14:paraId="32220E64" w14:textId="77777777" w:rsidR="008C7C39" w:rsidRDefault="008C7C39" w:rsidP="008C7C39">
      <w:pPr>
        <w:jc w:val="center"/>
        <w:rPr>
          <w:sz w:val="20"/>
          <w:szCs w:val="20"/>
          <w:lang w:val="sr-Cyrl-RS"/>
        </w:rPr>
      </w:pPr>
      <w:r>
        <w:rPr>
          <w:noProof/>
          <w:sz w:val="20"/>
          <w:szCs w:val="20"/>
          <w:lang w:val="sr-Latn-RS" w:eastAsia="sr-Latn-RS"/>
        </w:rPr>
        <w:drawing>
          <wp:inline distT="0" distB="0" distL="0" distR="0" wp14:anchorId="09E17578" wp14:editId="28DC377F">
            <wp:extent cx="5486400" cy="2913797"/>
            <wp:effectExtent l="0" t="0" r="0" b="12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8EF1DC" w14:textId="1D491441" w:rsidR="008C7C39" w:rsidRDefault="008C7C39" w:rsidP="008C7C39">
      <w:pPr>
        <w:pStyle w:val="Tekst-1"/>
      </w:pPr>
      <w:r w:rsidRPr="007F2D0B">
        <w:t>Подаци указују на благо повећање просечних зарада, уз повремене периоде стагнације, како у Прокупљу и Блацу, тако и на нивоу Ребублике Србије. Међутим, видљиво је и заостајање просечних зарада становништва у Прокупљу и Блацу у односу на републички просек.</w:t>
      </w:r>
    </w:p>
    <w:p w14:paraId="524F9258" w14:textId="1D176317" w:rsidR="00964763" w:rsidRPr="004748E1" w:rsidRDefault="00964763" w:rsidP="00964763">
      <w:pPr>
        <w:pStyle w:val="a0"/>
      </w:pPr>
      <w:r w:rsidRPr="004748E1">
        <w:t>Табела</w:t>
      </w:r>
      <w:r w:rsidR="00941E80">
        <w:t xml:space="preserve"> 5.</w:t>
      </w:r>
      <w:r w:rsidRPr="004748E1">
        <w:t xml:space="preserve"> Регистрована запосленост</w:t>
      </w:r>
    </w:p>
    <w:tbl>
      <w:tblPr>
        <w:tblStyle w:val="TableGrid"/>
        <w:tblW w:w="5000" w:type="pct"/>
        <w:tblLook w:val="04A0" w:firstRow="1" w:lastRow="0" w:firstColumn="1" w:lastColumn="0" w:noHBand="0" w:noVBand="1"/>
      </w:tblPr>
      <w:tblGrid>
        <w:gridCol w:w="3029"/>
        <w:gridCol w:w="1535"/>
        <w:gridCol w:w="1597"/>
        <w:gridCol w:w="1541"/>
        <w:gridCol w:w="1541"/>
      </w:tblGrid>
      <w:tr w:rsidR="00964763" w:rsidRPr="004748E1" w14:paraId="4230AC2A" w14:textId="77777777" w:rsidTr="003A23F7">
        <w:tc>
          <w:tcPr>
            <w:tcW w:w="1947" w:type="dxa"/>
            <w:tcBorders>
              <w:top w:val="nil"/>
              <w:left w:val="nil"/>
            </w:tcBorders>
          </w:tcPr>
          <w:p w14:paraId="51AE2A96" w14:textId="77777777" w:rsidR="00964763" w:rsidRPr="004748E1" w:rsidRDefault="00964763" w:rsidP="003F6DA8">
            <w:pPr>
              <w:rPr>
                <w:rFonts w:ascii="Times New Roman" w:hAnsi="Times New Roman" w:cs="Times New Roman"/>
                <w:lang w:val="sr-Cyrl-RS"/>
              </w:rPr>
            </w:pPr>
          </w:p>
        </w:tc>
        <w:tc>
          <w:tcPr>
            <w:tcW w:w="3992" w:type="dxa"/>
            <w:gridSpan w:val="4"/>
            <w:shd w:val="clear" w:color="auto" w:fill="9CC2E5" w:themeFill="accent5" w:themeFillTint="99"/>
            <w:vAlign w:val="center"/>
          </w:tcPr>
          <w:p w14:paraId="21A4968F" w14:textId="16DFE68D" w:rsidR="00964763" w:rsidRPr="003A23F7" w:rsidRDefault="003A23F7" w:rsidP="003F6DA8">
            <w:pPr>
              <w:jc w:val="center"/>
              <w:rPr>
                <w:rFonts w:ascii="Times New Roman" w:hAnsi="Times New Roman" w:cs="Times New Roman"/>
                <w:b/>
                <w:bCs/>
                <w:lang w:val="sr-Cyrl-RS"/>
              </w:rPr>
            </w:pPr>
            <w:r>
              <w:rPr>
                <w:rFonts w:ascii="Times New Roman" w:hAnsi="Times New Roman" w:cs="Times New Roman"/>
                <w:b/>
                <w:bCs/>
                <w:lang w:val="sr-Cyrl-RS"/>
              </w:rPr>
              <w:t>П</w:t>
            </w:r>
            <w:r w:rsidR="00964763" w:rsidRPr="003A23F7">
              <w:rPr>
                <w:rFonts w:ascii="Times New Roman" w:hAnsi="Times New Roman" w:cs="Times New Roman"/>
                <w:b/>
                <w:bCs/>
                <w:lang w:val="sr-Cyrl-RS"/>
              </w:rPr>
              <w:t>ериод</w:t>
            </w:r>
          </w:p>
        </w:tc>
      </w:tr>
      <w:tr w:rsidR="00964763" w:rsidRPr="004748E1" w14:paraId="12F63C86" w14:textId="77777777" w:rsidTr="003A23F7">
        <w:tc>
          <w:tcPr>
            <w:tcW w:w="1947" w:type="dxa"/>
            <w:shd w:val="clear" w:color="auto" w:fill="9CC2E5" w:themeFill="accent5" w:themeFillTint="99"/>
          </w:tcPr>
          <w:p w14:paraId="60499448"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986" w:type="dxa"/>
          </w:tcPr>
          <w:p w14:paraId="01CA83DF"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2016</w:t>
            </w:r>
          </w:p>
        </w:tc>
        <w:tc>
          <w:tcPr>
            <w:tcW w:w="1026" w:type="dxa"/>
          </w:tcPr>
          <w:p w14:paraId="5131C333"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2017</w:t>
            </w:r>
          </w:p>
        </w:tc>
        <w:tc>
          <w:tcPr>
            <w:tcW w:w="990" w:type="dxa"/>
          </w:tcPr>
          <w:p w14:paraId="7D1A566A"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2018</w:t>
            </w:r>
          </w:p>
        </w:tc>
        <w:tc>
          <w:tcPr>
            <w:tcW w:w="990" w:type="dxa"/>
          </w:tcPr>
          <w:p w14:paraId="76721E02"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2019</w:t>
            </w:r>
          </w:p>
        </w:tc>
      </w:tr>
      <w:tr w:rsidR="00964763" w:rsidRPr="004748E1" w14:paraId="7FABB829" w14:textId="77777777" w:rsidTr="003A23F7">
        <w:tc>
          <w:tcPr>
            <w:tcW w:w="1947" w:type="dxa"/>
            <w:shd w:val="clear" w:color="auto" w:fill="9CC2E5" w:themeFill="accent5" w:themeFillTint="99"/>
          </w:tcPr>
          <w:p w14:paraId="0B7C95A8"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Прокупље</w:t>
            </w:r>
          </w:p>
        </w:tc>
        <w:tc>
          <w:tcPr>
            <w:tcW w:w="986" w:type="dxa"/>
          </w:tcPr>
          <w:p w14:paraId="4586119E"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10922</w:t>
            </w:r>
          </w:p>
        </w:tc>
        <w:tc>
          <w:tcPr>
            <w:tcW w:w="1026" w:type="dxa"/>
          </w:tcPr>
          <w:p w14:paraId="435EAE18"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11705</w:t>
            </w:r>
          </w:p>
        </w:tc>
        <w:tc>
          <w:tcPr>
            <w:tcW w:w="990" w:type="dxa"/>
          </w:tcPr>
          <w:p w14:paraId="2249A470"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11900</w:t>
            </w:r>
          </w:p>
        </w:tc>
        <w:tc>
          <w:tcPr>
            <w:tcW w:w="990" w:type="dxa"/>
          </w:tcPr>
          <w:p w14:paraId="7E362EBB"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12356</w:t>
            </w:r>
          </w:p>
        </w:tc>
      </w:tr>
      <w:tr w:rsidR="00964763" w:rsidRPr="004748E1" w14:paraId="6E11BCDC" w14:textId="77777777" w:rsidTr="003A23F7">
        <w:tc>
          <w:tcPr>
            <w:tcW w:w="1947" w:type="dxa"/>
            <w:shd w:val="clear" w:color="auto" w:fill="9CC2E5" w:themeFill="accent5" w:themeFillTint="99"/>
          </w:tcPr>
          <w:p w14:paraId="79C50363"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Блаце</w:t>
            </w:r>
          </w:p>
        </w:tc>
        <w:tc>
          <w:tcPr>
            <w:tcW w:w="986" w:type="dxa"/>
          </w:tcPr>
          <w:p w14:paraId="161FEEF8"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2305</w:t>
            </w:r>
          </w:p>
        </w:tc>
        <w:tc>
          <w:tcPr>
            <w:tcW w:w="1026" w:type="dxa"/>
          </w:tcPr>
          <w:p w14:paraId="621F5943"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2385</w:t>
            </w:r>
          </w:p>
        </w:tc>
        <w:tc>
          <w:tcPr>
            <w:tcW w:w="990" w:type="dxa"/>
          </w:tcPr>
          <w:p w14:paraId="67B04FE1"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2441</w:t>
            </w:r>
          </w:p>
        </w:tc>
        <w:tc>
          <w:tcPr>
            <w:tcW w:w="990" w:type="dxa"/>
          </w:tcPr>
          <w:p w14:paraId="71F56432"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2518</w:t>
            </w:r>
          </w:p>
        </w:tc>
      </w:tr>
      <w:tr w:rsidR="00964763" w:rsidRPr="004748E1" w14:paraId="23B0758C" w14:textId="77777777" w:rsidTr="003A23F7">
        <w:tc>
          <w:tcPr>
            <w:tcW w:w="1947" w:type="dxa"/>
            <w:shd w:val="clear" w:color="auto" w:fill="9CC2E5" w:themeFill="accent5" w:themeFillTint="99"/>
          </w:tcPr>
          <w:p w14:paraId="398736F0"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Република Србија</w:t>
            </w:r>
          </w:p>
        </w:tc>
        <w:tc>
          <w:tcPr>
            <w:tcW w:w="986" w:type="dxa"/>
          </w:tcPr>
          <w:p w14:paraId="13536823"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2009785</w:t>
            </w:r>
          </w:p>
        </w:tc>
        <w:tc>
          <w:tcPr>
            <w:tcW w:w="1026" w:type="dxa"/>
          </w:tcPr>
          <w:p w14:paraId="01CEBD1E"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2062588</w:t>
            </w:r>
          </w:p>
        </w:tc>
        <w:tc>
          <w:tcPr>
            <w:tcW w:w="990" w:type="dxa"/>
          </w:tcPr>
          <w:p w14:paraId="7339D66D"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2131079</w:t>
            </w:r>
          </w:p>
        </w:tc>
        <w:tc>
          <w:tcPr>
            <w:tcW w:w="990" w:type="dxa"/>
          </w:tcPr>
          <w:p w14:paraId="0CE40C17" w14:textId="77777777" w:rsidR="00964763" w:rsidRPr="004748E1" w:rsidRDefault="00964763" w:rsidP="003F6DA8">
            <w:pPr>
              <w:rPr>
                <w:rFonts w:ascii="Times New Roman" w:hAnsi="Times New Roman" w:cs="Times New Roman"/>
                <w:lang w:val="sr-Cyrl-RS"/>
              </w:rPr>
            </w:pPr>
            <w:r w:rsidRPr="00383EE0">
              <w:rPr>
                <w:rFonts w:ascii="Times New Roman" w:hAnsi="Times New Roman" w:cs="Times New Roman"/>
                <w:lang w:val="sr-Cyrl-RS"/>
              </w:rPr>
              <w:t>2173135</w:t>
            </w:r>
          </w:p>
        </w:tc>
      </w:tr>
    </w:tbl>
    <w:p w14:paraId="439A2F43" w14:textId="77777777" w:rsidR="00964763" w:rsidRPr="00964763" w:rsidRDefault="00964763" w:rsidP="00964763">
      <w:pPr>
        <w:jc w:val="right"/>
        <w:rPr>
          <w:rFonts w:ascii="Times New Roman" w:hAnsi="Times New Roman" w:cs="Times New Roman"/>
          <w:i/>
          <w:iCs/>
          <w:sz w:val="20"/>
          <w:szCs w:val="20"/>
          <w:lang w:val="sr-Cyrl-RS"/>
        </w:rPr>
      </w:pPr>
      <w:r w:rsidRPr="00964763">
        <w:rPr>
          <w:rFonts w:ascii="Times New Roman" w:hAnsi="Times New Roman" w:cs="Times New Roman"/>
          <w:i/>
          <w:iCs/>
          <w:sz w:val="20"/>
          <w:szCs w:val="20"/>
          <w:lang w:val="sr-Cyrl-RS"/>
        </w:rPr>
        <w:lastRenderedPageBreak/>
        <w:t>Извор: РЗС, СТАТ база, Тржиште рада, регистрована запосленост (2016-2019)</w:t>
      </w:r>
    </w:p>
    <w:p w14:paraId="5B258764" w14:textId="5F8A8436" w:rsidR="00964763" w:rsidRDefault="00964763" w:rsidP="008F3B61">
      <w:pPr>
        <w:pStyle w:val="Tekst-1"/>
      </w:pPr>
      <w:r>
        <w:t>Према подацима о регистрованој запослености, може се уочити тренд благог повећања, како у прокупљу, тако и у Блацу. Овај тренд је у складу са макрокретањима на нивоу Републике србије, који такође показује умерени раст.</w:t>
      </w:r>
    </w:p>
    <w:p w14:paraId="795FB689" w14:textId="570FFBA0" w:rsidR="00964763" w:rsidRDefault="00964763" w:rsidP="00964763">
      <w:pPr>
        <w:pStyle w:val="a0"/>
      </w:pPr>
      <w:r w:rsidRPr="00351646">
        <w:t>Табела</w:t>
      </w:r>
      <w:r w:rsidR="00012EBF">
        <w:t xml:space="preserve"> 6.</w:t>
      </w:r>
      <w:r w:rsidRPr="00351646">
        <w:t xml:space="preserve"> Регистрована запосленост према полу </w:t>
      </w:r>
    </w:p>
    <w:tbl>
      <w:tblPr>
        <w:tblStyle w:val="TableGrid"/>
        <w:tblW w:w="5000" w:type="pct"/>
        <w:tblLook w:val="04A0" w:firstRow="1" w:lastRow="0" w:firstColumn="1" w:lastColumn="0" w:noHBand="0" w:noVBand="1"/>
      </w:tblPr>
      <w:tblGrid>
        <w:gridCol w:w="2349"/>
        <w:gridCol w:w="1853"/>
        <w:gridCol w:w="1192"/>
        <w:gridCol w:w="1237"/>
        <w:gridCol w:w="1415"/>
        <w:gridCol w:w="1197"/>
      </w:tblGrid>
      <w:tr w:rsidR="00964763" w14:paraId="2024CC69" w14:textId="77777777" w:rsidTr="003A23F7">
        <w:tc>
          <w:tcPr>
            <w:tcW w:w="3476" w:type="dxa"/>
            <w:gridSpan w:val="2"/>
            <w:tcBorders>
              <w:top w:val="nil"/>
              <w:left w:val="nil"/>
            </w:tcBorders>
          </w:tcPr>
          <w:p w14:paraId="67EAACB7" w14:textId="77777777" w:rsidR="00964763" w:rsidRDefault="00964763" w:rsidP="003F6DA8">
            <w:pPr>
              <w:jc w:val="center"/>
              <w:rPr>
                <w:rFonts w:ascii="Times New Roman" w:hAnsi="Times New Roman" w:cs="Times New Roman"/>
                <w:lang w:val="sr-Cyrl-RS"/>
              </w:rPr>
            </w:pPr>
          </w:p>
        </w:tc>
        <w:tc>
          <w:tcPr>
            <w:tcW w:w="4169" w:type="dxa"/>
            <w:gridSpan w:val="4"/>
            <w:shd w:val="clear" w:color="auto" w:fill="9CC2E5" w:themeFill="accent5" w:themeFillTint="99"/>
            <w:vAlign w:val="center"/>
          </w:tcPr>
          <w:p w14:paraId="30F0C791" w14:textId="4A34536C" w:rsidR="00964763" w:rsidRPr="003A23F7" w:rsidRDefault="00964763" w:rsidP="003F6DA8">
            <w:pPr>
              <w:jc w:val="center"/>
              <w:rPr>
                <w:rFonts w:ascii="Times New Roman" w:hAnsi="Times New Roman" w:cs="Times New Roman"/>
                <w:b/>
                <w:bCs/>
                <w:lang w:val="sr-Cyrl-RS"/>
              </w:rPr>
            </w:pPr>
            <w:r w:rsidRPr="003A23F7">
              <w:rPr>
                <w:rFonts w:ascii="Times New Roman" w:hAnsi="Times New Roman" w:cs="Times New Roman"/>
                <w:b/>
                <w:bCs/>
                <w:lang w:val="sr-Cyrl-RS"/>
              </w:rPr>
              <w:t>Период</w:t>
            </w:r>
          </w:p>
        </w:tc>
      </w:tr>
      <w:tr w:rsidR="00964763" w14:paraId="7F52FFD7" w14:textId="77777777" w:rsidTr="003A23F7">
        <w:tc>
          <w:tcPr>
            <w:tcW w:w="1943" w:type="dxa"/>
            <w:shd w:val="clear" w:color="auto" w:fill="9CC2E5" w:themeFill="accent5" w:themeFillTint="99"/>
          </w:tcPr>
          <w:p w14:paraId="3EC29D9A"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1533" w:type="dxa"/>
            <w:shd w:val="clear" w:color="auto" w:fill="9CC2E5" w:themeFill="accent5" w:themeFillTint="99"/>
          </w:tcPr>
          <w:p w14:paraId="4B250565"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Пол</w:t>
            </w:r>
          </w:p>
        </w:tc>
        <w:tc>
          <w:tcPr>
            <w:tcW w:w="986" w:type="dxa"/>
          </w:tcPr>
          <w:p w14:paraId="664CD579"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2016</w:t>
            </w:r>
          </w:p>
        </w:tc>
        <w:tc>
          <w:tcPr>
            <w:tcW w:w="1023" w:type="dxa"/>
          </w:tcPr>
          <w:p w14:paraId="2CA65E5F"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2017</w:t>
            </w:r>
          </w:p>
        </w:tc>
        <w:tc>
          <w:tcPr>
            <w:tcW w:w="1170" w:type="dxa"/>
          </w:tcPr>
          <w:p w14:paraId="057F2D12"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2018</w:t>
            </w:r>
          </w:p>
        </w:tc>
        <w:tc>
          <w:tcPr>
            <w:tcW w:w="990" w:type="dxa"/>
          </w:tcPr>
          <w:p w14:paraId="7AF0B4BF"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2019</w:t>
            </w:r>
          </w:p>
        </w:tc>
      </w:tr>
      <w:tr w:rsidR="00964763" w14:paraId="007F5CE2" w14:textId="77777777" w:rsidTr="003A23F7">
        <w:tc>
          <w:tcPr>
            <w:tcW w:w="1943" w:type="dxa"/>
            <w:vMerge w:val="restart"/>
            <w:shd w:val="clear" w:color="auto" w:fill="9CC2E5" w:themeFill="accent5" w:themeFillTint="99"/>
            <w:vAlign w:val="center"/>
          </w:tcPr>
          <w:p w14:paraId="2E2DD012"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Прокупље</w:t>
            </w:r>
          </w:p>
        </w:tc>
        <w:tc>
          <w:tcPr>
            <w:tcW w:w="1533" w:type="dxa"/>
            <w:shd w:val="clear" w:color="auto" w:fill="9CC2E5" w:themeFill="accent5" w:themeFillTint="99"/>
          </w:tcPr>
          <w:p w14:paraId="2E940AD9"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986" w:type="dxa"/>
          </w:tcPr>
          <w:p w14:paraId="0070E52D"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5731</w:t>
            </w:r>
          </w:p>
        </w:tc>
        <w:tc>
          <w:tcPr>
            <w:tcW w:w="1023" w:type="dxa"/>
          </w:tcPr>
          <w:p w14:paraId="0614A79F"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6093</w:t>
            </w:r>
          </w:p>
        </w:tc>
        <w:tc>
          <w:tcPr>
            <w:tcW w:w="1170" w:type="dxa"/>
          </w:tcPr>
          <w:p w14:paraId="616F420C"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6175</w:t>
            </w:r>
          </w:p>
        </w:tc>
        <w:tc>
          <w:tcPr>
            <w:tcW w:w="990" w:type="dxa"/>
          </w:tcPr>
          <w:p w14:paraId="0445B00C"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6368</w:t>
            </w:r>
          </w:p>
        </w:tc>
      </w:tr>
      <w:tr w:rsidR="00964763" w14:paraId="78CD19DB" w14:textId="77777777" w:rsidTr="003A23F7">
        <w:tc>
          <w:tcPr>
            <w:tcW w:w="1943" w:type="dxa"/>
            <w:vMerge/>
            <w:shd w:val="clear" w:color="auto" w:fill="9CC2E5" w:themeFill="accent5" w:themeFillTint="99"/>
            <w:vAlign w:val="center"/>
          </w:tcPr>
          <w:p w14:paraId="311AF722" w14:textId="77777777" w:rsidR="00964763" w:rsidRPr="003A23F7" w:rsidRDefault="00964763" w:rsidP="003F6DA8">
            <w:pPr>
              <w:rPr>
                <w:rFonts w:ascii="Times New Roman" w:hAnsi="Times New Roman" w:cs="Times New Roman"/>
                <w:b/>
                <w:bCs/>
              </w:rPr>
            </w:pPr>
          </w:p>
        </w:tc>
        <w:tc>
          <w:tcPr>
            <w:tcW w:w="1533" w:type="dxa"/>
            <w:shd w:val="clear" w:color="auto" w:fill="9CC2E5" w:themeFill="accent5" w:themeFillTint="99"/>
          </w:tcPr>
          <w:p w14:paraId="7287B38F"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986" w:type="dxa"/>
          </w:tcPr>
          <w:p w14:paraId="5B0062FB"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5191</w:t>
            </w:r>
          </w:p>
        </w:tc>
        <w:tc>
          <w:tcPr>
            <w:tcW w:w="1023" w:type="dxa"/>
          </w:tcPr>
          <w:p w14:paraId="38E21A51"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5612</w:t>
            </w:r>
          </w:p>
        </w:tc>
        <w:tc>
          <w:tcPr>
            <w:tcW w:w="1170" w:type="dxa"/>
          </w:tcPr>
          <w:p w14:paraId="551854D0"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5725</w:t>
            </w:r>
          </w:p>
        </w:tc>
        <w:tc>
          <w:tcPr>
            <w:tcW w:w="990" w:type="dxa"/>
          </w:tcPr>
          <w:p w14:paraId="217AA307" w14:textId="77777777" w:rsidR="00964763" w:rsidRDefault="00964763" w:rsidP="003F6DA8">
            <w:pPr>
              <w:rPr>
                <w:rFonts w:ascii="Times New Roman" w:hAnsi="Times New Roman" w:cs="Times New Roman"/>
                <w:lang w:val="sr-Cyrl-RS"/>
              </w:rPr>
            </w:pPr>
            <w:r w:rsidRPr="00383EE0">
              <w:rPr>
                <w:rFonts w:ascii="Times New Roman" w:hAnsi="Times New Roman" w:cs="Times New Roman"/>
                <w:lang w:val="sr-Cyrl-RS"/>
              </w:rPr>
              <w:t>5989</w:t>
            </w:r>
          </w:p>
        </w:tc>
      </w:tr>
      <w:tr w:rsidR="00964763" w14:paraId="78FB2F55" w14:textId="77777777" w:rsidTr="003A23F7">
        <w:tc>
          <w:tcPr>
            <w:tcW w:w="1943" w:type="dxa"/>
            <w:vMerge w:val="restart"/>
            <w:shd w:val="clear" w:color="auto" w:fill="9CC2E5" w:themeFill="accent5" w:themeFillTint="99"/>
            <w:vAlign w:val="center"/>
          </w:tcPr>
          <w:p w14:paraId="6F65F059"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Блаце</w:t>
            </w:r>
          </w:p>
        </w:tc>
        <w:tc>
          <w:tcPr>
            <w:tcW w:w="1533" w:type="dxa"/>
            <w:shd w:val="clear" w:color="auto" w:fill="9CC2E5" w:themeFill="accent5" w:themeFillTint="99"/>
          </w:tcPr>
          <w:p w14:paraId="34C28809"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986" w:type="dxa"/>
          </w:tcPr>
          <w:p w14:paraId="25E984EF"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1327</w:t>
            </w:r>
          </w:p>
        </w:tc>
        <w:tc>
          <w:tcPr>
            <w:tcW w:w="1023" w:type="dxa"/>
          </w:tcPr>
          <w:p w14:paraId="0A9D7921"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1354</w:t>
            </w:r>
          </w:p>
        </w:tc>
        <w:tc>
          <w:tcPr>
            <w:tcW w:w="1170" w:type="dxa"/>
          </w:tcPr>
          <w:p w14:paraId="563C9239"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1383</w:t>
            </w:r>
          </w:p>
        </w:tc>
        <w:tc>
          <w:tcPr>
            <w:tcW w:w="990" w:type="dxa"/>
          </w:tcPr>
          <w:p w14:paraId="6CC26720"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1427</w:t>
            </w:r>
          </w:p>
        </w:tc>
      </w:tr>
      <w:tr w:rsidR="00964763" w14:paraId="1BD28F8D" w14:textId="77777777" w:rsidTr="003A23F7">
        <w:tc>
          <w:tcPr>
            <w:tcW w:w="1943" w:type="dxa"/>
            <w:vMerge/>
            <w:shd w:val="clear" w:color="auto" w:fill="9CC2E5" w:themeFill="accent5" w:themeFillTint="99"/>
            <w:vAlign w:val="center"/>
          </w:tcPr>
          <w:p w14:paraId="5753C1B2" w14:textId="77777777" w:rsidR="00964763" w:rsidRPr="003A23F7" w:rsidRDefault="00964763" w:rsidP="003F6DA8">
            <w:pPr>
              <w:rPr>
                <w:rFonts w:ascii="Times New Roman" w:hAnsi="Times New Roman" w:cs="Times New Roman"/>
                <w:b/>
                <w:bCs/>
              </w:rPr>
            </w:pPr>
          </w:p>
        </w:tc>
        <w:tc>
          <w:tcPr>
            <w:tcW w:w="1533" w:type="dxa"/>
            <w:shd w:val="clear" w:color="auto" w:fill="9CC2E5" w:themeFill="accent5" w:themeFillTint="99"/>
          </w:tcPr>
          <w:p w14:paraId="433AA035"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986" w:type="dxa"/>
          </w:tcPr>
          <w:p w14:paraId="3B20E33A"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978</w:t>
            </w:r>
          </w:p>
        </w:tc>
        <w:tc>
          <w:tcPr>
            <w:tcW w:w="1023" w:type="dxa"/>
          </w:tcPr>
          <w:p w14:paraId="77B9F6F7"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1032</w:t>
            </w:r>
          </w:p>
        </w:tc>
        <w:tc>
          <w:tcPr>
            <w:tcW w:w="1170" w:type="dxa"/>
          </w:tcPr>
          <w:p w14:paraId="34446C33"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1058</w:t>
            </w:r>
          </w:p>
        </w:tc>
        <w:tc>
          <w:tcPr>
            <w:tcW w:w="990" w:type="dxa"/>
          </w:tcPr>
          <w:p w14:paraId="3FF7ADC7"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1091</w:t>
            </w:r>
          </w:p>
        </w:tc>
      </w:tr>
      <w:tr w:rsidR="00964763" w14:paraId="4F603599" w14:textId="77777777" w:rsidTr="003A23F7">
        <w:tc>
          <w:tcPr>
            <w:tcW w:w="1943" w:type="dxa"/>
            <w:vMerge w:val="restart"/>
            <w:shd w:val="clear" w:color="auto" w:fill="9CC2E5" w:themeFill="accent5" w:themeFillTint="99"/>
            <w:vAlign w:val="center"/>
          </w:tcPr>
          <w:p w14:paraId="77D9C90B"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Република Србија</w:t>
            </w:r>
          </w:p>
        </w:tc>
        <w:tc>
          <w:tcPr>
            <w:tcW w:w="1533" w:type="dxa"/>
            <w:shd w:val="clear" w:color="auto" w:fill="9CC2E5" w:themeFill="accent5" w:themeFillTint="99"/>
          </w:tcPr>
          <w:p w14:paraId="7902AD5E"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986" w:type="dxa"/>
          </w:tcPr>
          <w:p w14:paraId="76C1F172"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1103842</w:t>
            </w:r>
          </w:p>
        </w:tc>
        <w:tc>
          <w:tcPr>
            <w:tcW w:w="1023" w:type="dxa"/>
          </w:tcPr>
          <w:p w14:paraId="09589DD3"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1125171</w:t>
            </w:r>
          </w:p>
        </w:tc>
        <w:tc>
          <w:tcPr>
            <w:tcW w:w="1170" w:type="dxa"/>
          </w:tcPr>
          <w:p w14:paraId="27AB616D"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1155488</w:t>
            </w:r>
          </w:p>
        </w:tc>
        <w:tc>
          <w:tcPr>
            <w:tcW w:w="990" w:type="dxa"/>
          </w:tcPr>
          <w:p w14:paraId="74C547CB"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1174150</w:t>
            </w:r>
          </w:p>
        </w:tc>
      </w:tr>
      <w:tr w:rsidR="00964763" w14:paraId="02D117D0" w14:textId="77777777" w:rsidTr="003A23F7">
        <w:tc>
          <w:tcPr>
            <w:tcW w:w="1943" w:type="dxa"/>
            <w:vMerge/>
            <w:shd w:val="clear" w:color="auto" w:fill="9CC2E5" w:themeFill="accent5" w:themeFillTint="99"/>
          </w:tcPr>
          <w:p w14:paraId="38F51C5A" w14:textId="77777777" w:rsidR="00964763" w:rsidRPr="004748E1" w:rsidRDefault="00964763" w:rsidP="003F6DA8">
            <w:pPr>
              <w:rPr>
                <w:rFonts w:ascii="Times New Roman" w:hAnsi="Times New Roman" w:cs="Times New Roman"/>
                <w:lang w:val="sr-Cyrl-RS"/>
              </w:rPr>
            </w:pPr>
          </w:p>
        </w:tc>
        <w:tc>
          <w:tcPr>
            <w:tcW w:w="1533" w:type="dxa"/>
            <w:shd w:val="clear" w:color="auto" w:fill="9CC2E5" w:themeFill="accent5" w:themeFillTint="99"/>
          </w:tcPr>
          <w:p w14:paraId="2E4D8682"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986" w:type="dxa"/>
          </w:tcPr>
          <w:p w14:paraId="6F2DEC96"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905942</w:t>
            </w:r>
          </w:p>
        </w:tc>
        <w:tc>
          <w:tcPr>
            <w:tcW w:w="1023" w:type="dxa"/>
          </w:tcPr>
          <w:p w14:paraId="4FDA1BA5"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937416</w:t>
            </w:r>
          </w:p>
        </w:tc>
        <w:tc>
          <w:tcPr>
            <w:tcW w:w="1170" w:type="dxa"/>
          </w:tcPr>
          <w:p w14:paraId="7D636B2B"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975592</w:t>
            </w:r>
          </w:p>
        </w:tc>
        <w:tc>
          <w:tcPr>
            <w:tcW w:w="990" w:type="dxa"/>
          </w:tcPr>
          <w:p w14:paraId="6A1355D7" w14:textId="77777777" w:rsidR="00964763" w:rsidRDefault="00964763" w:rsidP="003F6DA8">
            <w:pPr>
              <w:rPr>
                <w:rFonts w:ascii="Times New Roman" w:hAnsi="Times New Roman" w:cs="Times New Roman"/>
                <w:lang w:val="sr-Cyrl-RS"/>
              </w:rPr>
            </w:pPr>
            <w:r w:rsidRPr="00143451">
              <w:rPr>
                <w:rFonts w:ascii="Times New Roman" w:hAnsi="Times New Roman" w:cs="Times New Roman"/>
                <w:lang w:val="sr-Cyrl-RS"/>
              </w:rPr>
              <w:t>998984</w:t>
            </w:r>
          </w:p>
        </w:tc>
      </w:tr>
    </w:tbl>
    <w:p w14:paraId="2A8B3FF6" w14:textId="77777777" w:rsidR="00964763" w:rsidRPr="00964763" w:rsidRDefault="00964763" w:rsidP="00964763">
      <w:pPr>
        <w:jc w:val="right"/>
        <w:rPr>
          <w:rFonts w:ascii="Times New Roman" w:hAnsi="Times New Roman" w:cs="Times New Roman"/>
          <w:i/>
          <w:iCs/>
          <w:sz w:val="20"/>
          <w:szCs w:val="20"/>
          <w:lang w:val="sr-Cyrl-RS"/>
        </w:rPr>
      </w:pPr>
      <w:r w:rsidRPr="00964763">
        <w:rPr>
          <w:rFonts w:ascii="Times New Roman" w:hAnsi="Times New Roman" w:cs="Times New Roman"/>
          <w:i/>
          <w:iCs/>
          <w:sz w:val="20"/>
          <w:szCs w:val="20"/>
          <w:lang w:val="sr-Cyrl-RS"/>
        </w:rPr>
        <w:t>Извор: РЗС, СТАТ база, Тржиште рада, регистрована запосленост (2016-2019)</w:t>
      </w:r>
    </w:p>
    <w:p w14:paraId="3B217917" w14:textId="69EA6C86" w:rsidR="00964763" w:rsidRDefault="00964763" w:rsidP="00964763">
      <w:pPr>
        <w:pStyle w:val="a0"/>
      </w:pPr>
      <w:r>
        <w:t>Табела</w:t>
      </w:r>
      <w:r w:rsidR="00012EBF">
        <w:t xml:space="preserve"> 7.</w:t>
      </w:r>
      <w:r>
        <w:t xml:space="preserve"> Регистрована запосленост према полу (%)</w:t>
      </w:r>
    </w:p>
    <w:tbl>
      <w:tblPr>
        <w:tblStyle w:val="TableGrid"/>
        <w:tblW w:w="0" w:type="auto"/>
        <w:tblLook w:val="04A0" w:firstRow="1" w:lastRow="0" w:firstColumn="1" w:lastColumn="0" w:noHBand="0" w:noVBand="1"/>
      </w:tblPr>
      <w:tblGrid>
        <w:gridCol w:w="1553"/>
        <w:gridCol w:w="1552"/>
        <w:gridCol w:w="1534"/>
        <w:gridCol w:w="1534"/>
        <w:gridCol w:w="1535"/>
        <w:gridCol w:w="1535"/>
      </w:tblGrid>
      <w:tr w:rsidR="00964763" w14:paraId="60AC2972" w14:textId="77777777" w:rsidTr="003A23F7">
        <w:tc>
          <w:tcPr>
            <w:tcW w:w="3116" w:type="dxa"/>
            <w:gridSpan w:val="2"/>
            <w:tcBorders>
              <w:top w:val="nil"/>
              <w:left w:val="nil"/>
            </w:tcBorders>
          </w:tcPr>
          <w:p w14:paraId="0E2F4518" w14:textId="77777777" w:rsidR="00964763" w:rsidRDefault="00964763" w:rsidP="003F6DA8">
            <w:pPr>
              <w:rPr>
                <w:rFonts w:ascii="Times New Roman" w:hAnsi="Times New Roman" w:cs="Times New Roman"/>
                <w:lang w:val="sr-Cyrl-RS"/>
              </w:rPr>
            </w:pPr>
          </w:p>
        </w:tc>
        <w:tc>
          <w:tcPr>
            <w:tcW w:w="6234" w:type="dxa"/>
            <w:gridSpan w:val="4"/>
            <w:shd w:val="clear" w:color="auto" w:fill="9CC2E5" w:themeFill="accent5" w:themeFillTint="99"/>
            <w:vAlign w:val="center"/>
          </w:tcPr>
          <w:p w14:paraId="467A661C" w14:textId="05BD8D3D" w:rsidR="00964763" w:rsidRPr="003A23F7" w:rsidRDefault="003A23F7" w:rsidP="003F6DA8">
            <w:pPr>
              <w:jc w:val="center"/>
              <w:rPr>
                <w:rFonts w:ascii="Times New Roman" w:hAnsi="Times New Roman" w:cs="Times New Roman"/>
                <w:b/>
                <w:bCs/>
                <w:lang w:val="sr-Cyrl-RS"/>
              </w:rPr>
            </w:pPr>
            <w:r w:rsidRPr="003A23F7">
              <w:rPr>
                <w:rFonts w:ascii="Times New Roman" w:hAnsi="Times New Roman" w:cs="Times New Roman"/>
                <w:b/>
                <w:bCs/>
                <w:lang w:val="sr-Cyrl-RS"/>
              </w:rPr>
              <w:t>П</w:t>
            </w:r>
            <w:r w:rsidR="00964763" w:rsidRPr="003A23F7">
              <w:rPr>
                <w:rFonts w:ascii="Times New Roman" w:hAnsi="Times New Roman" w:cs="Times New Roman"/>
                <w:b/>
                <w:bCs/>
                <w:lang w:val="sr-Cyrl-RS"/>
              </w:rPr>
              <w:t>ериод</w:t>
            </w:r>
          </w:p>
        </w:tc>
      </w:tr>
      <w:tr w:rsidR="00964763" w14:paraId="2D41AAFD" w14:textId="77777777" w:rsidTr="003A23F7">
        <w:tc>
          <w:tcPr>
            <w:tcW w:w="1558" w:type="dxa"/>
            <w:shd w:val="clear" w:color="auto" w:fill="9CC2E5" w:themeFill="accent5" w:themeFillTint="99"/>
          </w:tcPr>
          <w:p w14:paraId="47BEDC1F"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1558" w:type="dxa"/>
            <w:shd w:val="clear" w:color="auto" w:fill="9CC2E5" w:themeFill="accent5" w:themeFillTint="99"/>
          </w:tcPr>
          <w:p w14:paraId="000F65B6"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Пол</w:t>
            </w:r>
          </w:p>
        </w:tc>
        <w:tc>
          <w:tcPr>
            <w:tcW w:w="1558" w:type="dxa"/>
          </w:tcPr>
          <w:p w14:paraId="69BD9F6D"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2016</w:t>
            </w:r>
          </w:p>
        </w:tc>
        <w:tc>
          <w:tcPr>
            <w:tcW w:w="1558" w:type="dxa"/>
          </w:tcPr>
          <w:p w14:paraId="2A9A0E2A"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2017</w:t>
            </w:r>
          </w:p>
        </w:tc>
        <w:tc>
          <w:tcPr>
            <w:tcW w:w="1559" w:type="dxa"/>
          </w:tcPr>
          <w:p w14:paraId="731E2225"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2018</w:t>
            </w:r>
          </w:p>
        </w:tc>
        <w:tc>
          <w:tcPr>
            <w:tcW w:w="1559" w:type="dxa"/>
          </w:tcPr>
          <w:p w14:paraId="6610CAD1" w14:textId="77777777" w:rsidR="00964763" w:rsidRPr="004748E1" w:rsidRDefault="00964763" w:rsidP="003F6DA8">
            <w:pPr>
              <w:rPr>
                <w:rFonts w:ascii="Times New Roman" w:hAnsi="Times New Roman" w:cs="Times New Roman"/>
                <w:lang w:val="sr-Cyrl-RS"/>
              </w:rPr>
            </w:pPr>
            <w:r w:rsidRPr="004748E1">
              <w:rPr>
                <w:rFonts w:ascii="Times New Roman" w:hAnsi="Times New Roman" w:cs="Times New Roman"/>
                <w:lang w:val="sr-Cyrl-RS"/>
              </w:rPr>
              <w:t>2019</w:t>
            </w:r>
          </w:p>
        </w:tc>
      </w:tr>
      <w:tr w:rsidR="00964763" w14:paraId="59382462" w14:textId="77777777" w:rsidTr="003A23F7">
        <w:tc>
          <w:tcPr>
            <w:tcW w:w="1558" w:type="dxa"/>
            <w:vMerge w:val="restart"/>
            <w:shd w:val="clear" w:color="auto" w:fill="9CC2E5" w:themeFill="accent5" w:themeFillTint="99"/>
            <w:vAlign w:val="center"/>
          </w:tcPr>
          <w:p w14:paraId="4B497770"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Прокупље</w:t>
            </w:r>
          </w:p>
        </w:tc>
        <w:tc>
          <w:tcPr>
            <w:tcW w:w="1558" w:type="dxa"/>
            <w:shd w:val="clear" w:color="auto" w:fill="9CC2E5" w:themeFill="accent5" w:themeFillTint="99"/>
          </w:tcPr>
          <w:p w14:paraId="5C77E11F"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1558" w:type="dxa"/>
          </w:tcPr>
          <w:p w14:paraId="7E044F81"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52.47</w:t>
            </w:r>
          </w:p>
        </w:tc>
        <w:tc>
          <w:tcPr>
            <w:tcW w:w="1558" w:type="dxa"/>
          </w:tcPr>
          <w:p w14:paraId="066B01A0"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52.05</w:t>
            </w:r>
          </w:p>
        </w:tc>
        <w:tc>
          <w:tcPr>
            <w:tcW w:w="1559" w:type="dxa"/>
          </w:tcPr>
          <w:p w14:paraId="522A110B"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51.89</w:t>
            </w:r>
          </w:p>
        </w:tc>
        <w:tc>
          <w:tcPr>
            <w:tcW w:w="1559" w:type="dxa"/>
          </w:tcPr>
          <w:p w14:paraId="32DCBC7F"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51.54</w:t>
            </w:r>
          </w:p>
        </w:tc>
      </w:tr>
      <w:tr w:rsidR="00964763" w14:paraId="6F2EEC84" w14:textId="77777777" w:rsidTr="003A23F7">
        <w:tc>
          <w:tcPr>
            <w:tcW w:w="1558" w:type="dxa"/>
            <w:vMerge/>
            <w:shd w:val="clear" w:color="auto" w:fill="9CC2E5" w:themeFill="accent5" w:themeFillTint="99"/>
            <w:vAlign w:val="center"/>
          </w:tcPr>
          <w:p w14:paraId="59D8B20B" w14:textId="77777777" w:rsidR="00964763" w:rsidRPr="003A23F7" w:rsidRDefault="00964763" w:rsidP="003F6DA8">
            <w:pPr>
              <w:rPr>
                <w:rFonts w:ascii="Times New Roman" w:hAnsi="Times New Roman" w:cs="Times New Roman"/>
                <w:b/>
                <w:bCs/>
                <w:lang w:val="sr-Cyrl-RS"/>
              </w:rPr>
            </w:pPr>
          </w:p>
        </w:tc>
        <w:tc>
          <w:tcPr>
            <w:tcW w:w="1558" w:type="dxa"/>
            <w:shd w:val="clear" w:color="auto" w:fill="9CC2E5" w:themeFill="accent5" w:themeFillTint="99"/>
          </w:tcPr>
          <w:p w14:paraId="69334628"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1558" w:type="dxa"/>
          </w:tcPr>
          <w:p w14:paraId="6F175787"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47.53</w:t>
            </w:r>
          </w:p>
        </w:tc>
        <w:tc>
          <w:tcPr>
            <w:tcW w:w="1558" w:type="dxa"/>
          </w:tcPr>
          <w:p w14:paraId="6D85BE91"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47.95</w:t>
            </w:r>
          </w:p>
        </w:tc>
        <w:tc>
          <w:tcPr>
            <w:tcW w:w="1559" w:type="dxa"/>
          </w:tcPr>
          <w:p w14:paraId="3EECA980"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48.11</w:t>
            </w:r>
          </w:p>
        </w:tc>
        <w:tc>
          <w:tcPr>
            <w:tcW w:w="1559" w:type="dxa"/>
          </w:tcPr>
          <w:p w14:paraId="182F71D6"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48.47</w:t>
            </w:r>
          </w:p>
        </w:tc>
      </w:tr>
      <w:tr w:rsidR="00964763" w14:paraId="3B53CD9B" w14:textId="77777777" w:rsidTr="003A23F7">
        <w:tc>
          <w:tcPr>
            <w:tcW w:w="1558" w:type="dxa"/>
            <w:vMerge w:val="restart"/>
            <w:shd w:val="clear" w:color="auto" w:fill="9CC2E5" w:themeFill="accent5" w:themeFillTint="99"/>
            <w:vAlign w:val="center"/>
          </w:tcPr>
          <w:p w14:paraId="7634729F"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Блаце</w:t>
            </w:r>
          </w:p>
        </w:tc>
        <w:tc>
          <w:tcPr>
            <w:tcW w:w="1558" w:type="dxa"/>
            <w:shd w:val="clear" w:color="auto" w:fill="9CC2E5" w:themeFill="accent5" w:themeFillTint="99"/>
          </w:tcPr>
          <w:p w14:paraId="551E228A"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1558" w:type="dxa"/>
          </w:tcPr>
          <w:p w14:paraId="001FEDD1"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57.57</w:t>
            </w:r>
          </w:p>
        </w:tc>
        <w:tc>
          <w:tcPr>
            <w:tcW w:w="1558" w:type="dxa"/>
          </w:tcPr>
          <w:p w14:paraId="63F30AB2"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56.77</w:t>
            </w:r>
          </w:p>
        </w:tc>
        <w:tc>
          <w:tcPr>
            <w:tcW w:w="1559" w:type="dxa"/>
          </w:tcPr>
          <w:p w14:paraId="7DEE291A"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56.66</w:t>
            </w:r>
          </w:p>
        </w:tc>
        <w:tc>
          <w:tcPr>
            <w:tcW w:w="1559" w:type="dxa"/>
          </w:tcPr>
          <w:p w14:paraId="34ABBBE3"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56.67</w:t>
            </w:r>
          </w:p>
        </w:tc>
      </w:tr>
      <w:tr w:rsidR="00964763" w14:paraId="6569E17F" w14:textId="77777777" w:rsidTr="003A23F7">
        <w:tc>
          <w:tcPr>
            <w:tcW w:w="1558" w:type="dxa"/>
            <w:vMerge/>
            <w:shd w:val="clear" w:color="auto" w:fill="9CC2E5" w:themeFill="accent5" w:themeFillTint="99"/>
            <w:vAlign w:val="center"/>
          </w:tcPr>
          <w:p w14:paraId="19037A7E" w14:textId="77777777" w:rsidR="00964763" w:rsidRPr="003A23F7" w:rsidRDefault="00964763" w:rsidP="003F6DA8">
            <w:pPr>
              <w:rPr>
                <w:rFonts w:ascii="Times New Roman" w:hAnsi="Times New Roman" w:cs="Times New Roman"/>
                <w:b/>
                <w:bCs/>
                <w:lang w:val="sr-Cyrl-RS"/>
              </w:rPr>
            </w:pPr>
          </w:p>
        </w:tc>
        <w:tc>
          <w:tcPr>
            <w:tcW w:w="1558" w:type="dxa"/>
            <w:shd w:val="clear" w:color="auto" w:fill="9CC2E5" w:themeFill="accent5" w:themeFillTint="99"/>
          </w:tcPr>
          <w:p w14:paraId="357EFCAE"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1558" w:type="dxa"/>
          </w:tcPr>
          <w:p w14:paraId="63B06EEF"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42.43</w:t>
            </w:r>
          </w:p>
        </w:tc>
        <w:tc>
          <w:tcPr>
            <w:tcW w:w="1558" w:type="dxa"/>
          </w:tcPr>
          <w:p w14:paraId="029CAADC"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43.27</w:t>
            </w:r>
          </w:p>
        </w:tc>
        <w:tc>
          <w:tcPr>
            <w:tcW w:w="1559" w:type="dxa"/>
          </w:tcPr>
          <w:p w14:paraId="4F5359D7"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43.34</w:t>
            </w:r>
          </w:p>
        </w:tc>
        <w:tc>
          <w:tcPr>
            <w:tcW w:w="1559" w:type="dxa"/>
          </w:tcPr>
          <w:p w14:paraId="4BAA757C"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43.33</w:t>
            </w:r>
          </w:p>
        </w:tc>
      </w:tr>
      <w:tr w:rsidR="00964763" w14:paraId="4BACA0D5" w14:textId="77777777" w:rsidTr="003A23F7">
        <w:tc>
          <w:tcPr>
            <w:tcW w:w="1558" w:type="dxa"/>
            <w:vMerge w:val="restart"/>
            <w:shd w:val="clear" w:color="auto" w:fill="9CC2E5" w:themeFill="accent5" w:themeFillTint="99"/>
            <w:vAlign w:val="center"/>
          </w:tcPr>
          <w:p w14:paraId="29FCC1F8"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Република Србија</w:t>
            </w:r>
          </w:p>
        </w:tc>
        <w:tc>
          <w:tcPr>
            <w:tcW w:w="1558" w:type="dxa"/>
            <w:shd w:val="clear" w:color="auto" w:fill="9CC2E5" w:themeFill="accent5" w:themeFillTint="99"/>
          </w:tcPr>
          <w:p w14:paraId="60AA1218"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Мушкарци</w:t>
            </w:r>
          </w:p>
        </w:tc>
        <w:tc>
          <w:tcPr>
            <w:tcW w:w="1558" w:type="dxa"/>
          </w:tcPr>
          <w:p w14:paraId="77851C19"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54.92</w:t>
            </w:r>
          </w:p>
        </w:tc>
        <w:tc>
          <w:tcPr>
            <w:tcW w:w="1558" w:type="dxa"/>
          </w:tcPr>
          <w:p w14:paraId="4893F52D"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54.55</w:t>
            </w:r>
          </w:p>
        </w:tc>
        <w:tc>
          <w:tcPr>
            <w:tcW w:w="1559" w:type="dxa"/>
          </w:tcPr>
          <w:p w14:paraId="6F319031"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54.22</w:t>
            </w:r>
          </w:p>
        </w:tc>
        <w:tc>
          <w:tcPr>
            <w:tcW w:w="1559" w:type="dxa"/>
          </w:tcPr>
          <w:p w14:paraId="5B75A7A1"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54.03</w:t>
            </w:r>
          </w:p>
        </w:tc>
      </w:tr>
      <w:tr w:rsidR="00964763" w14:paraId="5C7221FC" w14:textId="77777777" w:rsidTr="003A23F7">
        <w:tc>
          <w:tcPr>
            <w:tcW w:w="1558" w:type="dxa"/>
            <w:vMerge/>
          </w:tcPr>
          <w:p w14:paraId="38A2E0F3" w14:textId="77777777" w:rsidR="00964763" w:rsidRDefault="00964763" w:rsidP="003F6DA8">
            <w:pPr>
              <w:rPr>
                <w:rFonts w:ascii="Times New Roman" w:hAnsi="Times New Roman" w:cs="Times New Roman"/>
                <w:lang w:val="sr-Cyrl-RS"/>
              </w:rPr>
            </w:pPr>
          </w:p>
        </w:tc>
        <w:tc>
          <w:tcPr>
            <w:tcW w:w="1558" w:type="dxa"/>
            <w:shd w:val="clear" w:color="auto" w:fill="9CC2E5" w:themeFill="accent5" w:themeFillTint="99"/>
          </w:tcPr>
          <w:p w14:paraId="5B9C8E63"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Жене</w:t>
            </w:r>
          </w:p>
        </w:tc>
        <w:tc>
          <w:tcPr>
            <w:tcW w:w="1558" w:type="dxa"/>
          </w:tcPr>
          <w:p w14:paraId="200F4A14"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45.08</w:t>
            </w:r>
          </w:p>
        </w:tc>
        <w:tc>
          <w:tcPr>
            <w:tcW w:w="1558" w:type="dxa"/>
          </w:tcPr>
          <w:p w14:paraId="05999A24"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45.45</w:t>
            </w:r>
          </w:p>
        </w:tc>
        <w:tc>
          <w:tcPr>
            <w:tcW w:w="1559" w:type="dxa"/>
          </w:tcPr>
          <w:p w14:paraId="70BB0562" w14:textId="77777777" w:rsidR="00964763" w:rsidRDefault="00964763" w:rsidP="003F6DA8">
            <w:pPr>
              <w:rPr>
                <w:rFonts w:ascii="Times New Roman" w:hAnsi="Times New Roman" w:cs="Times New Roman"/>
                <w:lang w:val="sr-Cyrl-RS"/>
              </w:rPr>
            </w:pPr>
            <w:r w:rsidRPr="00B86B0D">
              <w:rPr>
                <w:rFonts w:ascii="Times New Roman" w:hAnsi="Times New Roman" w:cs="Times New Roman"/>
                <w:lang w:val="sr-Cyrl-RS"/>
              </w:rPr>
              <w:t>45.78</w:t>
            </w:r>
          </w:p>
        </w:tc>
        <w:tc>
          <w:tcPr>
            <w:tcW w:w="1559" w:type="dxa"/>
          </w:tcPr>
          <w:p w14:paraId="51CA642E" w14:textId="77777777" w:rsidR="00964763" w:rsidRDefault="00964763" w:rsidP="003F6DA8">
            <w:pPr>
              <w:rPr>
                <w:rFonts w:ascii="Times New Roman" w:hAnsi="Times New Roman" w:cs="Times New Roman"/>
                <w:lang w:val="sr-Cyrl-RS"/>
              </w:rPr>
            </w:pPr>
            <w:r w:rsidRPr="00D94388">
              <w:rPr>
                <w:rFonts w:ascii="Times New Roman" w:hAnsi="Times New Roman" w:cs="Times New Roman"/>
                <w:lang w:val="sr-Cyrl-RS"/>
              </w:rPr>
              <w:t>45.97</w:t>
            </w:r>
          </w:p>
        </w:tc>
      </w:tr>
    </w:tbl>
    <w:p w14:paraId="218EA241" w14:textId="77777777" w:rsidR="00964763" w:rsidRPr="00964763" w:rsidRDefault="00964763" w:rsidP="00964763">
      <w:pPr>
        <w:jc w:val="right"/>
        <w:rPr>
          <w:rFonts w:ascii="Times New Roman" w:hAnsi="Times New Roman" w:cs="Times New Roman"/>
          <w:i/>
          <w:iCs/>
          <w:sz w:val="20"/>
          <w:szCs w:val="20"/>
          <w:lang w:val="sr-Cyrl-RS"/>
        </w:rPr>
      </w:pPr>
      <w:r w:rsidRPr="00964763">
        <w:rPr>
          <w:rFonts w:ascii="Times New Roman" w:hAnsi="Times New Roman" w:cs="Times New Roman"/>
          <w:i/>
          <w:iCs/>
          <w:sz w:val="20"/>
          <w:szCs w:val="20"/>
          <w:lang w:val="sr-Cyrl-RS"/>
        </w:rPr>
        <w:t>Извор: РЗС, СТАТ база, Тржиште рада, регистрована запосленост (2016-2019)</w:t>
      </w:r>
    </w:p>
    <w:p w14:paraId="74E0602A" w14:textId="03D3E753" w:rsidR="00183620" w:rsidRDefault="00183620" w:rsidP="003F6DA8">
      <w:pPr>
        <w:pStyle w:val="-2"/>
      </w:pPr>
      <w:bookmarkStart w:id="10" w:name="_Toc55208024"/>
      <w:r>
        <w:t>в) Стање и трендови у руралном подручју – демографске и социјалне карактеристике подручја</w:t>
      </w:r>
      <w:bookmarkEnd w:id="10"/>
    </w:p>
    <w:p w14:paraId="47D619B2" w14:textId="04A63485" w:rsidR="002F3C4F" w:rsidRDefault="002F3C4F" w:rsidP="00183620">
      <w:pPr>
        <w:pStyle w:val="Tekst-1"/>
      </w:pPr>
      <w:r w:rsidRPr="002F3C4F">
        <w:t xml:space="preserve">Као што је то случај са многим општинама у Србији, на подручју </w:t>
      </w:r>
      <w:r>
        <w:t>ЛАГ</w:t>
      </w:r>
      <w:r w:rsidRPr="002F3C4F">
        <w:t xml:space="preserve"> јављају се негативни демографски трендови условљени дуготрајним  процесима деаграризације и деопопулације сеоских насеља, као и негативним социо-економским процесима</w:t>
      </w:r>
      <w:r w:rsidR="00837D00">
        <w:t>.</w:t>
      </w:r>
      <w:r w:rsidRPr="002F3C4F">
        <w:t xml:space="preserve"> </w:t>
      </w:r>
    </w:p>
    <w:p w14:paraId="34B28D93" w14:textId="629EF633" w:rsidR="002F3C4F" w:rsidRDefault="00837D00" w:rsidP="00837D00">
      <w:pPr>
        <w:pStyle w:val="Tekst-1"/>
        <w:ind w:firstLine="0"/>
      </w:pPr>
      <w:r>
        <w:t>Д</w:t>
      </w:r>
      <w:r w:rsidR="002F3C4F" w:rsidRPr="002F3C4F">
        <w:t xml:space="preserve">емографску структуру </w:t>
      </w:r>
      <w:r w:rsidR="002F3C4F">
        <w:t>подручја ЛАГ</w:t>
      </w:r>
      <w:r>
        <w:t>-а</w:t>
      </w:r>
      <w:r w:rsidR="002F3C4F" w:rsidRPr="002F3C4F">
        <w:t xml:space="preserve"> данас одликује: депопулација, старост становништва, низак фертилни контигент, висок удео делатности секундарног сектора (индустрија) које су већ дуже време у лошој пос</w:t>
      </w:r>
      <w:r w:rsidR="002F3C4F">
        <w:t>л</w:t>
      </w:r>
      <w:r w:rsidR="002F3C4F" w:rsidRPr="002F3C4F">
        <w:t xml:space="preserve">овној ситуацији и делатности које се финансирају из буџета (државна управа, здравство, образовање), а мали број запослених у предузетништву и услугама, висока стопа незапослености и лоша образовна структура. </w:t>
      </w:r>
    </w:p>
    <w:p w14:paraId="77F36C0E" w14:textId="2319817D" w:rsidR="00964763" w:rsidRDefault="00964763" w:rsidP="00183620">
      <w:pPr>
        <w:pStyle w:val="Tekst-1"/>
      </w:pPr>
      <w:r>
        <w:t>Готово на свим нивоима региструјемо већу заступљенист запослених мушкараца у односу на жене. С тим што, заступљеност мушкараца у Блацу је виша него на нивоу Републике Србије, док у Прокупљу је заступљеност мушкараца нижа него што је републички просек. Међутим, ваља нагласити да на основу ових података можемо уочити тренд благог смањивања више заступљености мушкараца на свим нивоима.</w:t>
      </w:r>
    </w:p>
    <w:p w14:paraId="50854A20" w14:textId="5116B0F9" w:rsidR="00964763" w:rsidRPr="00183620" w:rsidRDefault="00964763" w:rsidP="00183620">
      <w:pPr>
        <w:pStyle w:val="a0"/>
      </w:pPr>
      <w:r w:rsidRPr="00183620">
        <w:t>Табела</w:t>
      </w:r>
      <w:r w:rsidR="00012EBF">
        <w:t xml:space="preserve"> 8.</w:t>
      </w:r>
      <w:r w:rsidRPr="00183620">
        <w:t xml:space="preserve"> Стопа природног прираштаја</w:t>
      </w:r>
    </w:p>
    <w:tbl>
      <w:tblPr>
        <w:tblStyle w:val="TableGrid"/>
        <w:tblW w:w="0" w:type="auto"/>
        <w:tblLook w:val="04A0" w:firstRow="1" w:lastRow="0" w:firstColumn="1" w:lastColumn="0" w:noHBand="0" w:noVBand="1"/>
      </w:tblPr>
      <w:tblGrid>
        <w:gridCol w:w="2630"/>
        <w:gridCol w:w="887"/>
        <w:gridCol w:w="717"/>
        <w:gridCol w:w="717"/>
        <w:gridCol w:w="717"/>
        <w:gridCol w:w="717"/>
        <w:gridCol w:w="717"/>
        <w:gridCol w:w="717"/>
        <w:gridCol w:w="717"/>
        <w:gridCol w:w="707"/>
      </w:tblGrid>
      <w:tr w:rsidR="00964763" w:rsidRPr="00223CB7" w14:paraId="4889DB9D" w14:textId="77777777" w:rsidTr="003A23F7">
        <w:tc>
          <w:tcPr>
            <w:tcW w:w="2700" w:type="dxa"/>
            <w:tcBorders>
              <w:top w:val="nil"/>
              <w:left w:val="nil"/>
            </w:tcBorders>
          </w:tcPr>
          <w:p w14:paraId="24797CFA" w14:textId="77777777" w:rsidR="00964763" w:rsidRPr="00223CB7" w:rsidRDefault="00964763" w:rsidP="003F6DA8">
            <w:pPr>
              <w:rPr>
                <w:rFonts w:ascii="Times New Roman" w:hAnsi="Times New Roman" w:cs="Times New Roman"/>
                <w:lang w:val="sr-Cyrl-RS"/>
              </w:rPr>
            </w:pPr>
          </w:p>
        </w:tc>
        <w:tc>
          <w:tcPr>
            <w:tcW w:w="6650" w:type="dxa"/>
            <w:gridSpan w:val="9"/>
            <w:shd w:val="clear" w:color="auto" w:fill="9CC2E5" w:themeFill="accent5" w:themeFillTint="99"/>
          </w:tcPr>
          <w:p w14:paraId="63BC4402" w14:textId="57132191" w:rsidR="00964763" w:rsidRPr="003A23F7" w:rsidRDefault="003A23F7" w:rsidP="003F6DA8">
            <w:pPr>
              <w:jc w:val="center"/>
              <w:rPr>
                <w:rFonts w:ascii="Times New Roman" w:hAnsi="Times New Roman" w:cs="Times New Roman"/>
                <w:b/>
                <w:bCs/>
                <w:lang w:val="sr-Cyrl-RS"/>
              </w:rPr>
            </w:pPr>
            <w:r w:rsidRPr="003A23F7">
              <w:rPr>
                <w:rFonts w:ascii="Times New Roman" w:hAnsi="Times New Roman" w:cs="Times New Roman"/>
                <w:b/>
                <w:bCs/>
                <w:lang w:val="sr-Cyrl-RS"/>
              </w:rPr>
              <w:t>П</w:t>
            </w:r>
            <w:r w:rsidR="00964763" w:rsidRPr="003A23F7">
              <w:rPr>
                <w:rFonts w:ascii="Times New Roman" w:hAnsi="Times New Roman" w:cs="Times New Roman"/>
                <w:b/>
                <w:bCs/>
                <w:lang w:val="sr-Cyrl-RS"/>
              </w:rPr>
              <w:t>ериод</w:t>
            </w:r>
          </w:p>
        </w:tc>
      </w:tr>
      <w:tr w:rsidR="00964763" w:rsidRPr="00223CB7" w14:paraId="3D9A0C5D" w14:textId="77777777" w:rsidTr="003A23F7">
        <w:tc>
          <w:tcPr>
            <w:tcW w:w="2700" w:type="dxa"/>
            <w:shd w:val="clear" w:color="auto" w:fill="9CC2E5" w:themeFill="accent5" w:themeFillTint="99"/>
          </w:tcPr>
          <w:p w14:paraId="6BBAFC89"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900" w:type="dxa"/>
          </w:tcPr>
          <w:p w14:paraId="7F77003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2011</w:t>
            </w:r>
          </w:p>
        </w:tc>
        <w:tc>
          <w:tcPr>
            <w:tcW w:w="720" w:type="dxa"/>
          </w:tcPr>
          <w:p w14:paraId="134F2B5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2012</w:t>
            </w:r>
          </w:p>
        </w:tc>
        <w:tc>
          <w:tcPr>
            <w:tcW w:w="720" w:type="dxa"/>
          </w:tcPr>
          <w:p w14:paraId="5F3EBD3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2013</w:t>
            </w:r>
          </w:p>
        </w:tc>
        <w:tc>
          <w:tcPr>
            <w:tcW w:w="720" w:type="dxa"/>
          </w:tcPr>
          <w:p w14:paraId="04ECBBB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2014</w:t>
            </w:r>
          </w:p>
        </w:tc>
        <w:tc>
          <w:tcPr>
            <w:tcW w:w="720" w:type="dxa"/>
          </w:tcPr>
          <w:p w14:paraId="08E96CAA"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2015</w:t>
            </w:r>
          </w:p>
        </w:tc>
        <w:tc>
          <w:tcPr>
            <w:tcW w:w="720" w:type="dxa"/>
          </w:tcPr>
          <w:p w14:paraId="7DFA76CB"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2016</w:t>
            </w:r>
          </w:p>
        </w:tc>
        <w:tc>
          <w:tcPr>
            <w:tcW w:w="720" w:type="dxa"/>
          </w:tcPr>
          <w:p w14:paraId="0CAC3D1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2017</w:t>
            </w:r>
          </w:p>
        </w:tc>
        <w:tc>
          <w:tcPr>
            <w:tcW w:w="720" w:type="dxa"/>
          </w:tcPr>
          <w:p w14:paraId="46AF5745"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2018</w:t>
            </w:r>
          </w:p>
        </w:tc>
        <w:tc>
          <w:tcPr>
            <w:tcW w:w="710" w:type="dxa"/>
          </w:tcPr>
          <w:p w14:paraId="4FB3BE5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2019</w:t>
            </w:r>
          </w:p>
        </w:tc>
      </w:tr>
      <w:tr w:rsidR="00964763" w:rsidRPr="00223CB7" w14:paraId="23F84C56" w14:textId="77777777" w:rsidTr="003A23F7">
        <w:tc>
          <w:tcPr>
            <w:tcW w:w="2700" w:type="dxa"/>
            <w:shd w:val="clear" w:color="auto" w:fill="9CC2E5" w:themeFill="accent5" w:themeFillTint="99"/>
          </w:tcPr>
          <w:p w14:paraId="59D90FD2"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Прокупље</w:t>
            </w:r>
          </w:p>
        </w:tc>
        <w:tc>
          <w:tcPr>
            <w:tcW w:w="900" w:type="dxa"/>
          </w:tcPr>
          <w:p w14:paraId="7740C26D"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-8.8</w:t>
            </w:r>
          </w:p>
        </w:tc>
        <w:tc>
          <w:tcPr>
            <w:tcW w:w="720" w:type="dxa"/>
          </w:tcPr>
          <w:p w14:paraId="0A6FD952"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- 7.7</w:t>
            </w:r>
          </w:p>
        </w:tc>
        <w:tc>
          <w:tcPr>
            <w:tcW w:w="720" w:type="dxa"/>
          </w:tcPr>
          <w:p w14:paraId="7FF0CCDE"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- 6.3</w:t>
            </w:r>
          </w:p>
        </w:tc>
        <w:tc>
          <w:tcPr>
            <w:tcW w:w="720" w:type="dxa"/>
          </w:tcPr>
          <w:p w14:paraId="53F055B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- 7.2</w:t>
            </w:r>
          </w:p>
        </w:tc>
        <w:tc>
          <w:tcPr>
            <w:tcW w:w="720" w:type="dxa"/>
          </w:tcPr>
          <w:p w14:paraId="4614104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- 7.9</w:t>
            </w:r>
          </w:p>
        </w:tc>
        <w:tc>
          <w:tcPr>
            <w:tcW w:w="720" w:type="dxa"/>
          </w:tcPr>
          <w:p w14:paraId="0AC1A81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- 6.7</w:t>
            </w:r>
          </w:p>
        </w:tc>
        <w:tc>
          <w:tcPr>
            <w:tcW w:w="720" w:type="dxa"/>
          </w:tcPr>
          <w:p w14:paraId="4259956D"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- 6.0</w:t>
            </w:r>
          </w:p>
        </w:tc>
        <w:tc>
          <w:tcPr>
            <w:tcW w:w="720" w:type="dxa"/>
          </w:tcPr>
          <w:p w14:paraId="01C65D1B"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- 6.4</w:t>
            </w:r>
          </w:p>
        </w:tc>
        <w:tc>
          <w:tcPr>
            <w:tcW w:w="710" w:type="dxa"/>
          </w:tcPr>
          <w:p w14:paraId="31EE7481"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- 7.3</w:t>
            </w:r>
          </w:p>
        </w:tc>
      </w:tr>
      <w:tr w:rsidR="00964763" w:rsidRPr="00223CB7" w14:paraId="0181604A" w14:textId="77777777" w:rsidTr="003A23F7">
        <w:tc>
          <w:tcPr>
            <w:tcW w:w="2700" w:type="dxa"/>
            <w:shd w:val="clear" w:color="auto" w:fill="9CC2E5" w:themeFill="accent5" w:themeFillTint="99"/>
          </w:tcPr>
          <w:p w14:paraId="07955710"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Блаце</w:t>
            </w:r>
          </w:p>
        </w:tc>
        <w:tc>
          <w:tcPr>
            <w:tcW w:w="900" w:type="dxa"/>
          </w:tcPr>
          <w:p w14:paraId="0739AFC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-14.3</w:t>
            </w:r>
          </w:p>
        </w:tc>
        <w:tc>
          <w:tcPr>
            <w:tcW w:w="720" w:type="dxa"/>
          </w:tcPr>
          <w:p w14:paraId="4B19D45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-17.1</w:t>
            </w:r>
          </w:p>
        </w:tc>
        <w:tc>
          <w:tcPr>
            <w:tcW w:w="720" w:type="dxa"/>
          </w:tcPr>
          <w:p w14:paraId="38F2EB8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-13.5</w:t>
            </w:r>
          </w:p>
        </w:tc>
        <w:tc>
          <w:tcPr>
            <w:tcW w:w="720" w:type="dxa"/>
          </w:tcPr>
          <w:p w14:paraId="5A42C4E1"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-12.5</w:t>
            </w:r>
          </w:p>
        </w:tc>
        <w:tc>
          <w:tcPr>
            <w:tcW w:w="720" w:type="dxa"/>
          </w:tcPr>
          <w:p w14:paraId="4E87CAF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-15.5</w:t>
            </w:r>
          </w:p>
        </w:tc>
        <w:tc>
          <w:tcPr>
            <w:tcW w:w="720" w:type="dxa"/>
          </w:tcPr>
          <w:p w14:paraId="4A82872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-14.6</w:t>
            </w:r>
          </w:p>
        </w:tc>
        <w:tc>
          <w:tcPr>
            <w:tcW w:w="720" w:type="dxa"/>
          </w:tcPr>
          <w:p w14:paraId="0C86BA35"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-14.1</w:t>
            </w:r>
          </w:p>
        </w:tc>
        <w:tc>
          <w:tcPr>
            <w:tcW w:w="720" w:type="dxa"/>
          </w:tcPr>
          <w:p w14:paraId="27A24617"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-10.7</w:t>
            </w:r>
          </w:p>
        </w:tc>
        <w:tc>
          <w:tcPr>
            <w:tcW w:w="710" w:type="dxa"/>
          </w:tcPr>
          <w:p w14:paraId="1767BB1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-12.5</w:t>
            </w:r>
          </w:p>
        </w:tc>
      </w:tr>
      <w:tr w:rsidR="00964763" w:rsidRPr="00223CB7" w14:paraId="763301EE" w14:textId="77777777" w:rsidTr="003A23F7">
        <w:tc>
          <w:tcPr>
            <w:tcW w:w="2700" w:type="dxa"/>
            <w:shd w:val="clear" w:color="auto" w:fill="9CC2E5" w:themeFill="accent5" w:themeFillTint="99"/>
          </w:tcPr>
          <w:p w14:paraId="5B579ED1"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lastRenderedPageBreak/>
              <w:t>Република Србија</w:t>
            </w:r>
          </w:p>
        </w:tc>
        <w:tc>
          <w:tcPr>
            <w:tcW w:w="900" w:type="dxa"/>
          </w:tcPr>
          <w:p w14:paraId="4B74B103"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-5.3</w:t>
            </w:r>
          </w:p>
        </w:tc>
        <w:tc>
          <w:tcPr>
            <w:tcW w:w="720" w:type="dxa"/>
          </w:tcPr>
          <w:p w14:paraId="56B79369"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-5.4</w:t>
            </w:r>
          </w:p>
        </w:tc>
        <w:tc>
          <w:tcPr>
            <w:tcW w:w="720" w:type="dxa"/>
          </w:tcPr>
          <w:p w14:paraId="5B9EFC62"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-5.5</w:t>
            </w:r>
          </w:p>
        </w:tc>
        <w:tc>
          <w:tcPr>
            <w:tcW w:w="720" w:type="dxa"/>
          </w:tcPr>
          <w:p w14:paraId="7D452240"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-5.1</w:t>
            </w:r>
          </w:p>
        </w:tc>
        <w:tc>
          <w:tcPr>
            <w:tcW w:w="720" w:type="dxa"/>
          </w:tcPr>
          <w:p w14:paraId="603FEB9B"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-5.3</w:t>
            </w:r>
          </w:p>
        </w:tc>
        <w:tc>
          <w:tcPr>
            <w:tcW w:w="720" w:type="dxa"/>
          </w:tcPr>
          <w:p w14:paraId="0F3E8AFA"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-4.9</w:t>
            </w:r>
          </w:p>
        </w:tc>
        <w:tc>
          <w:tcPr>
            <w:tcW w:w="720" w:type="dxa"/>
          </w:tcPr>
          <w:p w14:paraId="6D666159"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-4.8</w:t>
            </w:r>
          </w:p>
        </w:tc>
        <w:tc>
          <w:tcPr>
            <w:tcW w:w="720" w:type="dxa"/>
          </w:tcPr>
          <w:p w14:paraId="0BB18CF2"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-4.9</w:t>
            </w:r>
          </w:p>
        </w:tc>
        <w:tc>
          <w:tcPr>
            <w:tcW w:w="710" w:type="dxa"/>
          </w:tcPr>
          <w:p w14:paraId="3578CBE6" w14:textId="77777777" w:rsidR="00964763" w:rsidRPr="00223CB7" w:rsidRDefault="00964763" w:rsidP="003F6DA8">
            <w:pPr>
              <w:rPr>
                <w:rFonts w:ascii="Times New Roman" w:hAnsi="Times New Roman" w:cs="Times New Roman"/>
                <w:lang w:val="sr-Cyrl-RS"/>
              </w:rPr>
            </w:pPr>
            <w:r w:rsidRPr="008C126B">
              <w:rPr>
                <w:rFonts w:ascii="Times New Roman" w:hAnsi="Times New Roman" w:cs="Times New Roman"/>
                <w:lang w:val="sr-Cyrl-RS"/>
              </w:rPr>
              <w:t>-5.2</w:t>
            </w:r>
          </w:p>
        </w:tc>
      </w:tr>
    </w:tbl>
    <w:p w14:paraId="1DDDFD53" w14:textId="77777777" w:rsidR="00964763" w:rsidRPr="00183620" w:rsidRDefault="00964763" w:rsidP="00183620">
      <w:pPr>
        <w:jc w:val="right"/>
        <w:rPr>
          <w:rFonts w:ascii="Times New Roman" w:hAnsi="Times New Roman" w:cs="Times New Roman"/>
          <w:i/>
          <w:iCs/>
          <w:sz w:val="20"/>
          <w:szCs w:val="20"/>
          <w:lang w:val="sr-Cyrl-RS"/>
        </w:rPr>
      </w:pPr>
      <w:r w:rsidRPr="00183620">
        <w:rPr>
          <w:rFonts w:ascii="Times New Roman" w:hAnsi="Times New Roman" w:cs="Times New Roman"/>
          <w:i/>
          <w:iCs/>
          <w:sz w:val="20"/>
          <w:szCs w:val="20"/>
          <w:lang w:val="sr-Cyrl-RS"/>
        </w:rPr>
        <w:t>Извор: РЗС, СТАТ база, Становништво, рођени и умрли (2011-2019)</w:t>
      </w:r>
    </w:p>
    <w:p w14:paraId="684C2859" w14:textId="0F5515F3" w:rsidR="00964763" w:rsidRDefault="00964763" w:rsidP="00183620">
      <w:pPr>
        <w:pStyle w:val="Tekst-1"/>
      </w:pPr>
      <w:r>
        <w:t>Видљива је демографски неповољна сиутација када се посматра стопа природног прираштаја. Иако не можемо увидети одређену тенденцију којом се стопе природног прираштаја крећу у Прокупљу и Блацу, уоч</w:t>
      </w:r>
      <w:r w:rsidR="003F6DA8">
        <w:t>љ</w:t>
      </w:r>
      <w:r>
        <w:t xml:space="preserve">иво је да су негативне стопе природног прираштаја константно веће него на нивоу Републике Србије, у Блацу је разлика драстичнија. У графикону </w:t>
      </w:r>
      <w:r w:rsidR="00C66B80">
        <w:t>3</w:t>
      </w:r>
      <w:r>
        <w:t>. можемо видети графички приказ те разлике.</w:t>
      </w:r>
    </w:p>
    <w:p w14:paraId="7096ABAA" w14:textId="77777777" w:rsidR="00964763" w:rsidRDefault="00964763" w:rsidP="00964763">
      <w:pPr>
        <w:jc w:val="both"/>
        <w:rPr>
          <w:rFonts w:ascii="Times New Roman" w:hAnsi="Times New Roman" w:cs="Times New Roman"/>
          <w:lang w:val="sr-Cyrl-RS"/>
        </w:rPr>
      </w:pPr>
    </w:p>
    <w:p w14:paraId="79B02B53" w14:textId="29F0BD45" w:rsidR="00964763" w:rsidRPr="008C126B" w:rsidRDefault="00964763" w:rsidP="00DE26F4">
      <w:pPr>
        <w:pStyle w:val="a0"/>
        <w:rPr>
          <w:color w:val="000000" w:themeColor="text1"/>
          <w14:textFill>
            <w14:solidFill>
              <w14:schemeClr w14:val="tx1">
                <w14:alpha w14:val="50000"/>
              </w14:schemeClr>
            </w14:solidFill>
          </w14:textFill>
        </w:rPr>
      </w:pPr>
      <w:r>
        <w:t>Графикон</w:t>
      </w:r>
      <w:r w:rsidR="00C66B80">
        <w:t xml:space="preserve"> 3.</w:t>
      </w:r>
      <w:r>
        <w:t xml:space="preserve"> Стопа природног прираштаја</w:t>
      </w:r>
    </w:p>
    <w:p w14:paraId="767B1532" w14:textId="77777777" w:rsidR="00964763" w:rsidRDefault="00964763" w:rsidP="00DE26F4">
      <w:pPr>
        <w:jc w:val="center"/>
        <w:rPr>
          <w:rFonts w:ascii="Times New Roman" w:hAnsi="Times New Roman" w:cs="Times New Roman"/>
          <w:lang w:val="sr-Cyrl-RS"/>
        </w:rPr>
      </w:pPr>
      <w:r>
        <w:rPr>
          <w:rFonts w:ascii="Times New Roman" w:hAnsi="Times New Roman" w:cs="Times New Roman"/>
          <w:noProof/>
          <w:lang w:val="sr-Latn-RS" w:eastAsia="sr-Latn-RS"/>
        </w:rPr>
        <w:drawing>
          <wp:inline distT="0" distB="0" distL="0" distR="0" wp14:anchorId="7B7AB73F" wp14:editId="096930D8">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360FCA" w14:textId="0EFFFA3E" w:rsidR="003A23F7" w:rsidRDefault="003A23F7">
      <w:pPr>
        <w:rPr>
          <w:rFonts w:cstheme="minorHAnsi"/>
          <w:i/>
          <w:iCs/>
          <w:sz w:val="24"/>
          <w:szCs w:val="28"/>
          <w:bdr w:val="none" w:sz="0" w:space="0" w:color="auto" w:frame="1"/>
          <w:lang w:val="sr-Cyrl-RS"/>
        </w:rPr>
      </w:pPr>
    </w:p>
    <w:p w14:paraId="6AE91DB7" w14:textId="59779786" w:rsidR="00964763" w:rsidRPr="00223CB7" w:rsidRDefault="00964763" w:rsidP="00DE26F4">
      <w:pPr>
        <w:pStyle w:val="a0"/>
      </w:pPr>
      <w:r>
        <w:t>Т</w:t>
      </w:r>
      <w:r w:rsidRPr="00223CB7">
        <w:t>абела</w:t>
      </w:r>
      <w:r w:rsidR="00012EBF">
        <w:t xml:space="preserve"> 9.</w:t>
      </w:r>
      <w:r w:rsidRPr="00223CB7">
        <w:t xml:space="preserve"> Миграције</w:t>
      </w:r>
    </w:p>
    <w:tbl>
      <w:tblPr>
        <w:tblStyle w:val="TableGrid"/>
        <w:tblW w:w="5000" w:type="pct"/>
        <w:tblLook w:val="04A0" w:firstRow="1" w:lastRow="0" w:firstColumn="1" w:lastColumn="0" w:noHBand="0" w:noVBand="1"/>
      </w:tblPr>
      <w:tblGrid>
        <w:gridCol w:w="1424"/>
        <w:gridCol w:w="1904"/>
        <w:gridCol w:w="656"/>
        <w:gridCol w:w="656"/>
        <w:gridCol w:w="656"/>
        <w:gridCol w:w="656"/>
        <w:gridCol w:w="656"/>
        <w:gridCol w:w="656"/>
        <w:gridCol w:w="656"/>
        <w:gridCol w:w="656"/>
        <w:gridCol w:w="667"/>
      </w:tblGrid>
      <w:tr w:rsidR="00964763" w:rsidRPr="00223CB7" w14:paraId="7570ADBC" w14:textId="77777777" w:rsidTr="003A23F7">
        <w:tc>
          <w:tcPr>
            <w:tcW w:w="3438" w:type="dxa"/>
            <w:gridSpan w:val="2"/>
            <w:tcBorders>
              <w:top w:val="nil"/>
              <w:left w:val="nil"/>
            </w:tcBorders>
          </w:tcPr>
          <w:p w14:paraId="0C25EDBE" w14:textId="77777777" w:rsidR="00964763" w:rsidRPr="00223CB7" w:rsidRDefault="00964763" w:rsidP="003F6DA8">
            <w:pPr>
              <w:rPr>
                <w:rFonts w:ascii="Times New Roman" w:hAnsi="Times New Roman" w:cs="Times New Roman"/>
                <w:lang w:val="sr-Cyrl-RS"/>
              </w:rPr>
            </w:pPr>
          </w:p>
        </w:tc>
        <w:tc>
          <w:tcPr>
            <w:tcW w:w="5917" w:type="dxa"/>
            <w:gridSpan w:val="9"/>
            <w:shd w:val="clear" w:color="auto" w:fill="9CC2E5" w:themeFill="accent5" w:themeFillTint="99"/>
          </w:tcPr>
          <w:p w14:paraId="261E5A08" w14:textId="5CFCC847" w:rsidR="00964763" w:rsidRPr="003A23F7" w:rsidRDefault="003A23F7" w:rsidP="003F6DA8">
            <w:pPr>
              <w:jc w:val="center"/>
              <w:rPr>
                <w:rFonts w:ascii="Times New Roman" w:hAnsi="Times New Roman" w:cs="Times New Roman"/>
                <w:b/>
                <w:bCs/>
                <w:lang w:val="sr-Cyrl-RS"/>
              </w:rPr>
            </w:pPr>
            <w:r w:rsidRPr="003A23F7">
              <w:rPr>
                <w:rFonts w:ascii="Times New Roman" w:hAnsi="Times New Roman" w:cs="Times New Roman"/>
                <w:b/>
                <w:bCs/>
                <w:lang w:val="sr-Cyrl-RS"/>
              </w:rPr>
              <w:t>Период</w:t>
            </w:r>
          </w:p>
        </w:tc>
      </w:tr>
      <w:tr w:rsidR="00964763" w:rsidRPr="00223CB7" w14:paraId="29A4095D" w14:textId="77777777" w:rsidTr="003A23F7">
        <w:tc>
          <w:tcPr>
            <w:tcW w:w="1440" w:type="dxa"/>
            <w:shd w:val="clear" w:color="auto" w:fill="9CC2E5" w:themeFill="accent5" w:themeFillTint="99"/>
          </w:tcPr>
          <w:p w14:paraId="7EC5F469"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Територија</w:t>
            </w:r>
          </w:p>
        </w:tc>
        <w:tc>
          <w:tcPr>
            <w:tcW w:w="1998" w:type="dxa"/>
            <w:shd w:val="clear" w:color="auto" w:fill="9CC2E5" w:themeFill="accent5" w:themeFillTint="99"/>
          </w:tcPr>
          <w:p w14:paraId="0B3E6EBD"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Миграција</w:t>
            </w:r>
          </w:p>
        </w:tc>
        <w:tc>
          <w:tcPr>
            <w:tcW w:w="656" w:type="dxa"/>
          </w:tcPr>
          <w:p w14:paraId="752AEF3F"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2011</w:t>
            </w:r>
          </w:p>
        </w:tc>
        <w:tc>
          <w:tcPr>
            <w:tcW w:w="656" w:type="dxa"/>
          </w:tcPr>
          <w:p w14:paraId="0B2932A2"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2012</w:t>
            </w:r>
          </w:p>
        </w:tc>
        <w:tc>
          <w:tcPr>
            <w:tcW w:w="656" w:type="dxa"/>
          </w:tcPr>
          <w:p w14:paraId="4688364F"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2013</w:t>
            </w:r>
          </w:p>
        </w:tc>
        <w:tc>
          <w:tcPr>
            <w:tcW w:w="656" w:type="dxa"/>
          </w:tcPr>
          <w:p w14:paraId="72985D26"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2014</w:t>
            </w:r>
          </w:p>
        </w:tc>
        <w:tc>
          <w:tcPr>
            <w:tcW w:w="656" w:type="dxa"/>
          </w:tcPr>
          <w:p w14:paraId="5A3A5C96"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2015</w:t>
            </w:r>
          </w:p>
        </w:tc>
        <w:tc>
          <w:tcPr>
            <w:tcW w:w="656" w:type="dxa"/>
          </w:tcPr>
          <w:p w14:paraId="0BFEC1F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2016</w:t>
            </w:r>
          </w:p>
        </w:tc>
        <w:tc>
          <w:tcPr>
            <w:tcW w:w="656" w:type="dxa"/>
          </w:tcPr>
          <w:p w14:paraId="47648BB5"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2017</w:t>
            </w:r>
          </w:p>
        </w:tc>
        <w:tc>
          <w:tcPr>
            <w:tcW w:w="656" w:type="dxa"/>
          </w:tcPr>
          <w:p w14:paraId="77506A34"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2018</w:t>
            </w:r>
          </w:p>
        </w:tc>
        <w:tc>
          <w:tcPr>
            <w:tcW w:w="669" w:type="dxa"/>
          </w:tcPr>
          <w:p w14:paraId="630749B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2019</w:t>
            </w:r>
          </w:p>
        </w:tc>
      </w:tr>
      <w:tr w:rsidR="00964763" w:rsidRPr="00223CB7" w14:paraId="48271B2D" w14:textId="77777777" w:rsidTr="003A23F7">
        <w:tc>
          <w:tcPr>
            <w:tcW w:w="1440" w:type="dxa"/>
            <w:vMerge w:val="restart"/>
            <w:shd w:val="clear" w:color="auto" w:fill="9CC2E5" w:themeFill="accent5" w:themeFillTint="99"/>
            <w:vAlign w:val="center"/>
          </w:tcPr>
          <w:p w14:paraId="1507EF62"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Прокупље</w:t>
            </w:r>
          </w:p>
        </w:tc>
        <w:tc>
          <w:tcPr>
            <w:tcW w:w="1998" w:type="dxa"/>
            <w:shd w:val="clear" w:color="auto" w:fill="9CC2E5" w:themeFill="accent5" w:themeFillTint="99"/>
          </w:tcPr>
          <w:p w14:paraId="6C7737B9"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Досељени</w:t>
            </w:r>
          </w:p>
        </w:tc>
        <w:tc>
          <w:tcPr>
            <w:tcW w:w="656" w:type="dxa"/>
          </w:tcPr>
          <w:p w14:paraId="34A1AC1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669</w:t>
            </w:r>
          </w:p>
        </w:tc>
        <w:tc>
          <w:tcPr>
            <w:tcW w:w="656" w:type="dxa"/>
          </w:tcPr>
          <w:p w14:paraId="3953E02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567</w:t>
            </w:r>
          </w:p>
        </w:tc>
        <w:tc>
          <w:tcPr>
            <w:tcW w:w="656" w:type="dxa"/>
          </w:tcPr>
          <w:p w14:paraId="61CBCE7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612</w:t>
            </w:r>
          </w:p>
        </w:tc>
        <w:tc>
          <w:tcPr>
            <w:tcW w:w="656" w:type="dxa"/>
          </w:tcPr>
          <w:p w14:paraId="62BC0324"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600</w:t>
            </w:r>
          </w:p>
        </w:tc>
        <w:tc>
          <w:tcPr>
            <w:tcW w:w="656" w:type="dxa"/>
          </w:tcPr>
          <w:p w14:paraId="61D17576"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644</w:t>
            </w:r>
          </w:p>
        </w:tc>
        <w:tc>
          <w:tcPr>
            <w:tcW w:w="656" w:type="dxa"/>
          </w:tcPr>
          <w:p w14:paraId="3B94139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552</w:t>
            </w:r>
          </w:p>
        </w:tc>
        <w:tc>
          <w:tcPr>
            <w:tcW w:w="656" w:type="dxa"/>
          </w:tcPr>
          <w:p w14:paraId="3AC0A55B"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598</w:t>
            </w:r>
          </w:p>
        </w:tc>
        <w:tc>
          <w:tcPr>
            <w:tcW w:w="656" w:type="dxa"/>
          </w:tcPr>
          <w:p w14:paraId="0B94668F"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524</w:t>
            </w:r>
          </w:p>
        </w:tc>
        <w:tc>
          <w:tcPr>
            <w:tcW w:w="669" w:type="dxa"/>
          </w:tcPr>
          <w:p w14:paraId="572F2EE6"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524</w:t>
            </w:r>
          </w:p>
        </w:tc>
      </w:tr>
      <w:tr w:rsidR="00964763" w:rsidRPr="00223CB7" w14:paraId="08812D7D" w14:textId="77777777" w:rsidTr="003A23F7">
        <w:tc>
          <w:tcPr>
            <w:tcW w:w="1440" w:type="dxa"/>
            <w:vMerge/>
            <w:shd w:val="clear" w:color="auto" w:fill="9CC2E5" w:themeFill="accent5" w:themeFillTint="99"/>
            <w:vAlign w:val="center"/>
          </w:tcPr>
          <w:p w14:paraId="1F4A5D39" w14:textId="77777777" w:rsidR="00964763" w:rsidRPr="003A23F7" w:rsidRDefault="00964763" w:rsidP="003F6DA8">
            <w:pPr>
              <w:rPr>
                <w:rFonts w:ascii="Times New Roman" w:hAnsi="Times New Roman" w:cs="Times New Roman"/>
                <w:b/>
                <w:bCs/>
                <w:lang w:val="sr-Cyrl-RS"/>
              </w:rPr>
            </w:pPr>
          </w:p>
        </w:tc>
        <w:tc>
          <w:tcPr>
            <w:tcW w:w="1998" w:type="dxa"/>
            <w:shd w:val="clear" w:color="auto" w:fill="9CC2E5" w:themeFill="accent5" w:themeFillTint="99"/>
          </w:tcPr>
          <w:p w14:paraId="02E71F50"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Одсељени</w:t>
            </w:r>
          </w:p>
        </w:tc>
        <w:tc>
          <w:tcPr>
            <w:tcW w:w="656" w:type="dxa"/>
          </w:tcPr>
          <w:p w14:paraId="77A8FE1A"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802</w:t>
            </w:r>
          </w:p>
        </w:tc>
        <w:tc>
          <w:tcPr>
            <w:tcW w:w="656" w:type="dxa"/>
          </w:tcPr>
          <w:p w14:paraId="2929149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727</w:t>
            </w:r>
          </w:p>
        </w:tc>
        <w:tc>
          <w:tcPr>
            <w:tcW w:w="656" w:type="dxa"/>
          </w:tcPr>
          <w:p w14:paraId="28070FD0"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787</w:t>
            </w:r>
          </w:p>
        </w:tc>
        <w:tc>
          <w:tcPr>
            <w:tcW w:w="656" w:type="dxa"/>
          </w:tcPr>
          <w:p w14:paraId="31F6722F"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822</w:t>
            </w:r>
          </w:p>
        </w:tc>
        <w:tc>
          <w:tcPr>
            <w:tcW w:w="656" w:type="dxa"/>
          </w:tcPr>
          <w:p w14:paraId="568743D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786</w:t>
            </w:r>
          </w:p>
        </w:tc>
        <w:tc>
          <w:tcPr>
            <w:tcW w:w="656" w:type="dxa"/>
          </w:tcPr>
          <w:p w14:paraId="1E41CBD2"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686</w:t>
            </w:r>
          </w:p>
        </w:tc>
        <w:tc>
          <w:tcPr>
            <w:tcW w:w="656" w:type="dxa"/>
          </w:tcPr>
          <w:p w14:paraId="5D350CC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766</w:t>
            </w:r>
          </w:p>
        </w:tc>
        <w:tc>
          <w:tcPr>
            <w:tcW w:w="656" w:type="dxa"/>
          </w:tcPr>
          <w:p w14:paraId="5738382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712</w:t>
            </w:r>
          </w:p>
        </w:tc>
        <w:tc>
          <w:tcPr>
            <w:tcW w:w="669" w:type="dxa"/>
          </w:tcPr>
          <w:p w14:paraId="22CF5F21"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717</w:t>
            </w:r>
          </w:p>
        </w:tc>
      </w:tr>
      <w:tr w:rsidR="00964763" w:rsidRPr="00223CB7" w14:paraId="4C3BB213" w14:textId="77777777" w:rsidTr="003A23F7">
        <w:tc>
          <w:tcPr>
            <w:tcW w:w="1440" w:type="dxa"/>
            <w:vMerge/>
            <w:shd w:val="clear" w:color="auto" w:fill="9CC2E5" w:themeFill="accent5" w:themeFillTint="99"/>
            <w:vAlign w:val="center"/>
          </w:tcPr>
          <w:p w14:paraId="5EBAC63C" w14:textId="77777777" w:rsidR="00964763" w:rsidRPr="003A23F7" w:rsidRDefault="00964763" w:rsidP="003F6DA8">
            <w:pPr>
              <w:rPr>
                <w:rFonts w:ascii="Times New Roman" w:hAnsi="Times New Roman" w:cs="Times New Roman"/>
                <w:b/>
                <w:bCs/>
                <w:lang w:val="sr-Cyrl-RS"/>
              </w:rPr>
            </w:pPr>
          </w:p>
        </w:tc>
        <w:tc>
          <w:tcPr>
            <w:tcW w:w="1998" w:type="dxa"/>
            <w:shd w:val="clear" w:color="auto" w:fill="9CC2E5" w:themeFill="accent5" w:themeFillTint="99"/>
          </w:tcPr>
          <w:p w14:paraId="3E53E3FB"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Миграциони салдо</w:t>
            </w:r>
          </w:p>
        </w:tc>
        <w:tc>
          <w:tcPr>
            <w:tcW w:w="656" w:type="dxa"/>
          </w:tcPr>
          <w:p w14:paraId="335DFB83"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-133</w:t>
            </w:r>
          </w:p>
        </w:tc>
        <w:tc>
          <w:tcPr>
            <w:tcW w:w="656" w:type="dxa"/>
          </w:tcPr>
          <w:p w14:paraId="37869693"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-160</w:t>
            </w:r>
          </w:p>
        </w:tc>
        <w:tc>
          <w:tcPr>
            <w:tcW w:w="656" w:type="dxa"/>
          </w:tcPr>
          <w:p w14:paraId="414B51E8"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-175</w:t>
            </w:r>
          </w:p>
        </w:tc>
        <w:tc>
          <w:tcPr>
            <w:tcW w:w="656" w:type="dxa"/>
          </w:tcPr>
          <w:p w14:paraId="0191F638"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-222</w:t>
            </w:r>
          </w:p>
        </w:tc>
        <w:tc>
          <w:tcPr>
            <w:tcW w:w="656" w:type="dxa"/>
          </w:tcPr>
          <w:p w14:paraId="579F7A04"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-142</w:t>
            </w:r>
          </w:p>
        </w:tc>
        <w:tc>
          <w:tcPr>
            <w:tcW w:w="656" w:type="dxa"/>
          </w:tcPr>
          <w:p w14:paraId="1C18C3B9"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-134</w:t>
            </w:r>
          </w:p>
        </w:tc>
        <w:tc>
          <w:tcPr>
            <w:tcW w:w="656" w:type="dxa"/>
          </w:tcPr>
          <w:p w14:paraId="7D194E18"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-168</w:t>
            </w:r>
          </w:p>
        </w:tc>
        <w:tc>
          <w:tcPr>
            <w:tcW w:w="656" w:type="dxa"/>
          </w:tcPr>
          <w:p w14:paraId="4ED5F045"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-188</w:t>
            </w:r>
          </w:p>
        </w:tc>
        <w:tc>
          <w:tcPr>
            <w:tcW w:w="669" w:type="dxa"/>
          </w:tcPr>
          <w:p w14:paraId="006F6328"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-193</w:t>
            </w:r>
          </w:p>
        </w:tc>
      </w:tr>
      <w:tr w:rsidR="00964763" w:rsidRPr="00223CB7" w14:paraId="3B7F5446" w14:textId="77777777" w:rsidTr="003A23F7">
        <w:tc>
          <w:tcPr>
            <w:tcW w:w="1440" w:type="dxa"/>
            <w:vMerge w:val="restart"/>
            <w:shd w:val="clear" w:color="auto" w:fill="9CC2E5" w:themeFill="accent5" w:themeFillTint="99"/>
            <w:vAlign w:val="center"/>
          </w:tcPr>
          <w:p w14:paraId="292B53C1" w14:textId="77777777" w:rsidR="00964763" w:rsidRPr="003A23F7" w:rsidRDefault="00964763" w:rsidP="003F6DA8">
            <w:pPr>
              <w:rPr>
                <w:rFonts w:ascii="Times New Roman" w:hAnsi="Times New Roman" w:cs="Times New Roman"/>
                <w:b/>
                <w:bCs/>
              </w:rPr>
            </w:pPr>
            <w:r w:rsidRPr="003A23F7">
              <w:rPr>
                <w:rFonts w:ascii="Times New Roman" w:hAnsi="Times New Roman" w:cs="Times New Roman"/>
                <w:b/>
                <w:bCs/>
              </w:rPr>
              <w:t>Блаце</w:t>
            </w:r>
          </w:p>
        </w:tc>
        <w:tc>
          <w:tcPr>
            <w:tcW w:w="1998" w:type="dxa"/>
            <w:shd w:val="clear" w:color="auto" w:fill="9CC2E5" w:themeFill="accent5" w:themeFillTint="99"/>
          </w:tcPr>
          <w:p w14:paraId="7E38D1AD"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Досељени</w:t>
            </w:r>
          </w:p>
        </w:tc>
        <w:tc>
          <w:tcPr>
            <w:tcW w:w="656" w:type="dxa"/>
          </w:tcPr>
          <w:p w14:paraId="64D0CD6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149</w:t>
            </w:r>
          </w:p>
        </w:tc>
        <w:tc>
          <w:tcPr>
            <w:tcW w:w="656" w:type="dxa"/>
          </w:tcPr>
          <w:p w14:paraId="39642C67"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146</w:t>
            </w:r>
          </w:p>
        </w:tc>
        <w:tc>
          <w:tcPr>
            <w:tcW w:w="656" w:type="dxa"/>
          </w:tcPr>
          <w:p w14:paraId="5308324D"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156</w:t>
            </w:r>
          </w:p>
        </w:tc>
        <w:tc>
          <w:tcPr>
            <w:tcW w:w="656" w:type="dxa"/>
          </w:tcPr>
          <w:p w14:paraId="7C7E875D"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165</w:t>
            </w:r>
          </w:p>
        </w:tc>
        <w:tc>
          <w:tcPr>
            <w:tcW w:w="656" w:type="dxa"/>
          </w:tcPr>
          <w:p w14:paraId="1D1C015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129</w:t>
            </w:r>
          </w:p>
        </w:tc>
        <w:tc>
          <w:tcPr>
            <w:tcW w:w="656" w:type="dxa"/>
          </w:tcPr>
          <w:p w14:paraId="566CE297"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154</w:t>
            </w:r>
          </w:p>
        </w:tc>
        <w:tc>
          <w:tcPr>
            <w:tcW w:w="656" w:type="dxa"/>
          </w:tcPr>
          <w:p w14:paraId="2A3D8F3A"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180</w:t>
            </w:r>
          </w:p>
        </w:tc>
        <w:tc>
          <w:tcPr>
            <w:tcW w:w="656" w:type="dxa"/>
          </w:tcPr>
          <w:p w14:paraId="16AC6BC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186</w:t>
            </w:r>
          </w:p>
        </w:tc>
        <w:tc>
          <w:tcPr>
            <w:tcW w:w="669" w:type="dxa"/>
          </w:tcPr>
          <w:p w14:paraId="6FAF849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125</w:t>
            </w:r>
          </w:p>
        </w:tc>
      </w:tr>
      <w:tr w:rsidR="00964763" w:rsidRPr="00223CB7" w14:paraId="374A674D" w14:textId="77777777" w:rsidTr="003A23F7">
        <w:tc>
          <w:tcPr>
            <w:tcW w:w="1440" w:type="dxa"/>
            <w:vMerge/>
            <w:shd w:val="clear" w:color="auto" w:fill="9CC2E5" w:themeFill="accent5" w:themeFillTint="99"/>
            <w:vAlign w:val="center"/>
          </w:tcPr>
          <w:p w14:paraId="1ED0E829" w14:textId="77777777" w:rsidR="00964763" w:rsidRPr="003A23F7" w:rsidRDefault="00964763" w:rsidP="003F6DA8">
            <w:pPr>
              <w:rPr>
                <w:rFonts w:ascii="Times New Roman" w:hAnsi="Times New Roman" w:cs="Times New Roman"/>
                <w:b/>
                <w:bCs/>
                <w:lang w:val="sr-Cyrl-RS"/>
              </w:rPr>
            </w:pPr>
          </w:p>
        </w:tc>
        <w:tc>
          <w:tcPr>
            <w:tcW w:w="1998" w:type="dxa"/>
            <w:shd w:val="clear" w:color="auto" w:fill="9CC2E5" w:themeFill="accent5" w:themeFillTint="99"/>
          </w:tcPr>
          <w:p w14:paraId="4F67217E"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Одсељени</w:t>
            </w:r>
          </w:p>
        </w:tc>
        <w:tc>
          <w:tcPr>
            <w:tcW w:w="656" w:type="dxa"/>
          </w:tcPr>
          <w:p w14:paraId="427CCC3E"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175</w:t>
            </w:r>
          </w:p>
        </w:tc>
        <w:tc>
          <w:tcPr>
            <w:tcW w:w="656" w:type="dxa"/>
          </w:tcPr>
          <w:p w14:paraId="48B44ED3"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162</w:t>
            </w:r>
          </w:p>
        </w:tc>
        <w:tc>
          <w:tcPr>
            <w:tcW w:w="656" w:type="dxa"/>
          </w:tcPr>
          <w:p w14:paraId="4840C87F"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163</w:t>
            </w:r>
          </w:p>
        </w:tc>
        <w:tc>
          <w:tcPr>
            <w:tcW w:w="656" w:type="dxa"/>
          </w:tcPr>
          <w:p w14:paraId="785893CA"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179</w:t>
            </w:r>
          </w:p>
        </w:tc>
        <w:tc>
          <w:tcPr>
            <w:tcW w:w="656" w:type="dxa"/>
          </w:tcPr>
          <w:p w14:paraId="792A9C8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158</w:t>
            </w:r>
          </w:p>
        </w:tc>
        <w:tc>
          <w:tcPr>
            <w:tcW w:w="656" w:type="dxa"/>
          </w:tcPr>
          <w:p w14:paraId="72C4A3E9"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202</w:t>
            </w:r>
          </w:p>
        </w:tc>
        <w:tc>
          <w:tcPr>
            <w:tcW w:w="656" w:type="dxa"/>
          </w:tcPr>
          <w:p w14:paraId="7CD127FD"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187</w:t>
            </w:r>
          </w:p>
        </w:tc>
        <w:tc>
          <w:tcPr>
            <w:tcW w:w="656" w:type="dxa"/>
          </w:tcPr>
          <w:p w14:paraId="7EF808F8"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199</w:t>
            </w:r>
          </w:p>
        </w:tc>
        <w:tc>
          <w:tcPr>
            <w:tcW w:w="669" w:type="dxa"/>
          </w:tcPr>
          <w:p w14:paraId="0C7D203C" w14:textId="77777777" w:rsidR="00964763" w:rsidRPr="00223CB7" w:rsidRDefault="00964763" w:rsidP="003F6DA8">
            <w:pPr>
              <w:rPr>
                <w:rFonts w:ascii="Times New Roman" w:hAnsi="Times New Roman" w:cs="Times New Roman"/>
                <w:lang w:val="sr-Cyrl-RS"/>
              </w:rPr>
            </w:pPr>
            <w:r w:rsidRPr="00223CB7">
              <w:rPr>
                <w:rFonts w:ascii="Times New Roman" w:hAnsi="Times New Roman" w:cs="Times New Roman"/>
                <w:lang w:val="sr-Cyrl-RS"/>
              </w:rPr>
              <w:t>211</w:t>
            </w:r>
          </w:p>
        </w:tc>
      </w:tr>
      <w:tr w:rsidR="00964763" w:rsidRPr="00223CB7" w14:paraId="54C63730" w14:textId="77777777" w:rsidTr="003A23F7">
        <w:tc>
          <w:tcPr>
            <w:tcW w:w="1440" w:type="dxa"/>
            <w:vMerge/>
            <w:shd w:val="clear" w:color="auto" w:fill="9CC2E5" w:themeFill="accent5" w:themeFillTint="99"/>
            <w:vAlign w:val="center"/>
          </w:tcPr>
          <w:p w14:paraId="3C69D615" w14:textId="77777777" w:rsidR="00964763" w:rsidRPr="003A23F7" w:rsidRDefault="00964763" w:rsidP="003F6DA8">
            <w:pPr>
              <w:rPr>
                <w:rFonts w:ascii="Times New Roman" w:hAnsi="Times New Roman" w:cs="Times New Roman"/>
                <w:b/>
                <w:bCs/>
                <w:lang w:val="sr-Cyrl-RS"/>
              </w:rPr>
            </w:pPr>
          </w:p>
        </w:tc>
        <w:tc>
          <w:tcPr>
            <w:tcW w:w="1998" w:type="dxa"/>
            <w:shd w:val="clear" w:color="auto" w:fill="9CC2E5" w:themeFill="accent5" w:themeFillTint="99"/>
          </w:tcPr>
          <w:p w14:paraId="4346A6B1" w14:textId="77777777" w:rsidR="00964763" w:rsidRPr="003A23F7" w:rsidRDefault="00964763" w:rsidP="003F6DA8">
            <w:pPr>
              <w:rPr>
                <w:rFonts w:ascii="Times New Roman" w:hAnsi="Times New Roman" w:cs="Times New Roman"/>
                <w:b/>
                <w:bCs/>
                <w:lang w:val="sr-Cyrl-RS"/>
              </w:rPr>
            </w:pPr>
            <w:r w:rsidRPr="003A23F7">
              <w:rPr>
                <w:rFonts w:ascii="Times New Roman" w:hAnsi="Times New Roman" w:cs="Times New Roman"/>
                <w:b/>
                <w:bCs/>
                <w:lang w:val="sr-Cyrl-RS"/>
              </w:rPr>
              <w:t>Миграциони салдо</w:t>
            </w:r>
          </w:p>
        </w:tc>
        <w:tc>
          <w:tcPr>
            <w:tcW w:w="656" w:type="dxa"/>
          </w:tcPr>
          <w:p w14:paraId="08759D96"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-26</w:t>
            </w:r>
          </w:p>
        </w:tc>
        <w:tc>
          <w:tcPr>
            <w:tcW w:w="656" w:type="dxa"/>
          </w:tcPr>
          <w:p w14:paraId="232B2955"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-16</w:t>
            </w:r>
          </w:p>
        </w:tc>
        <w:tc>
          <w:tcPr>
            <w:tcW w:w="656" w:type="dxa"/>
          </w:tcPr>
          <w:p w14:paraId="49DD714D"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-7</w:t>
            </w:r>
          </w:p>
        </w:tc>
        <w:tc>
          <w:tcPr>
            <w:tcW w:w="656" w:type="dxa"/>
          </w:tcPr>
          <w:p w14:paraId="4F50857E"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-14</w:t>
            </w:r>
          </w:p>
        </w:tc>
        <w:tc>
          <w:tcPr>
            <w:tcW w:w="656" w:type="dxa"/>
          </w:tcPr>
          <w:p w14:paraId="5F1E098A"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-29</w:t>
            </w:r>
          </w:p>
        </w:tc>
        <w:tc>
          <w:tcPr>
            <w:tcW w:w="656" w:type="dxa"/>
          </w:tcPr>
          <w:p w14:paraId="1E60DA03"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-48</w:t>
            </w:r>
          </w:p>
        </w:tc>
        <w:tc>
          <w:tcPr>
            <w:tcW w:w="656" w:type="dxa"/>
          </w:tcPr>
          <w:p w14:paraId="049867A1"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-7</w:t>
            </w:r>
          </w:p>
        </w:tc>
        <w:tc>
          <w:tcPr>
            <w:tcW w:w="656" w:type="dxa"/>
          </w:tcPr>
          <w:p w14:paraId="65CC4A5A"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-13</w:t>
            </w:r>
          </w:p>
        </w:tc>
        <w:tc>
          <w:tcPr>
            <w:tcW w:w="669" w:type="dxa"/>
          </w:tcPr>
          <w:p w14:paraId="694D47BE" w14:textId="77777777" w:rsidR="00964763" w:rsidRPr="00223CB7" w:rsidRDefault="00964763" w:rsidP="003F6DA8">
            <w:pPr>
              <w:rPr>
                <w:rFonts w:ascii="Times New Roman" w:hAnsi="Times New Roman" w:cs="Times New Roman"/>
                <w:lang w:val="sr-Cyrl-RS"/>
              </w:rPr>
            </w:pPr>
            <w:r>
              <w:rPr>
                <w:rFonts w:ascii="Times New Roman" w:hAnsi="Times New Roman" w:cs="Times New Roman"/>
                <w:lang w:val="sr-Cyrl-RS"/>
              </w:rPr>
              <w:t>-86</w:t>
            </w:r>
          </w:p>
        </w:tc>
      </w:tr>
    </w:tbl>
    <w:p w14:paraId="53400D3E" w14:textId="77777777" w:rsidR="00964763" w:rsidRPr="00DE26F4" w:rsidRDefault="00964763" w:rsidP="00DE26F4">
      <w:pPr>
        <w:jc w:val="right"/>
        <w:rPr>
          <w:rFonts w:ascii="Times New Roman" w:hAnsi="Times New Roman" w:cs="Times New Roman"/>
          <w:i/>
          <w:iCs/>
          <w:sz w:val="20"/>
          <w:szCs w:val="20"/>
          <w:lang w:val="sr-Cyrl-RS"/>
        </w:rPr>
      </w:pPr>
      <w:r w:rsidRPr="00DE26F4">
        <w:rPr>
          <w:rFonts w:ascii="Times New Roman" w:hAnsi="Times New Roman" w:cs="Times New Roman"/>
          <w:i/>
          <w:iCs/>
          <w:sz w:val="20"/>
          <w:szCs w:val="20"/>
          <w:lang w:val="sr-Cyrl-RS"/>
        </w:rPr>
        <w:t>Извор: РЗС, СТАТ база, Становништво, миграције становништва (2011-2019)</w:t>
      </w:r>
    </w:p>
    <w:p w14:paraId="0CA6370A" w14:textId="42139EEA" w:rsidR="00964763" w:rsidRDefault="00964763" w:rsidP="00DE26F4">
      <w:pPr>
        <w:pStyle w:val="Tekst-1"/>
      </w:pPr>
      <w:r>
        <w:t xml:space="preserve">Лоша демографска ситуација због стопе природног прираштаја није надомештена миграционим кретањима. Готово сваке године примећујемо негативан миграциони салдо, односно већи број одесељеног становништва, него досељеног. </w:t>
      </w:r>
      <w:r w:rsidR="00271976">
        <w:t>У</w:t>
      </w:r>
      <w:r>
        <w:t xml:space="preserve"> графикону </w:t>
      </w:r>
      <w:r w:rsidR="00740096">
        <w:t>4</w:t>
      </w:r>
      <w:r>
        <w:t xml:space="preserve"> и </w:t>
      </w:r>
      <w:r w:rsidR="00740096">
        <w:t>5</w:t>
      </w:r>
      <w:r>
        <w:t xml:space="preserve"> имамо приказ броја људи који се одсели, односно доселе сваке године, али и сивом линијом извучен миграциони салдо за сваку годину, где можемо увидети дубину одлива становништва за сваку годину.</w:t>
      </w:r>
    </w:p>
    <w:p w14:paraId="5A17FE33" w14:textId="77777777" w:rsidR="00271976" w:rsidRDefault="00271976">
      <w:pPr>
        <w:rPr>
          <w:rFonts w:cstheme="minorHAnsi"/>
          <w:i/>
          <w:iCs/>
          <w:sz w:val="24"/>
          <w:szCs w:val="28"/>
          <w:bdr w:val="none" w:sz="0" w:space="0" w:color="auto" w:frame="1"/>
          <w:lang w:val="sr-Cyrl-RS"/>
        </w:rPr>
      </w:pPr>
      <w:r>
        <w:lastRenderedPageBreak/>
        <w:br w:type="page"/>
      </w:r>
    </w:p>
    <w:p w14:paraId="5F9A238B" w14:textId="08DBEF45" w:rsidR="00964763" w:rsidRDefault="00964763" w:rsidP="00DE26F4">
      <w:pPr>
        <w:pStyle w:val="a0"/>
      </w:pPr>
      <w:r>
        <w:lastRenderedPageBreak/>
        <w:t>Графикон</w:t>
      </w:r>
      <w:r w:rsidR="00740096">
        <w:t xml:space="preserve"> 4.</w:t>
      </w:r>
      <w:r>
        <w:t xml:space="preserve"> Миграције – Прокупље</w:t>
      </w:r>
    </w:p>
    <w:p w14:paraId="37526C14" w14:textId="77777777" w:rsidR="00964763" w:rsidRDefault="00964763" w:rsidP="00DE26F4">
      <w:pPr>
        <w:jc w:val="center"/>
        <w:rPr>
          <w:rFonts w:ascii="Times New Roman" w:hAnsi="Times New Roman" w:cs="Times New Roman"/>
          <w:lang w:val="sr-Cyrl-RS"/>
        </w:rPr>
      </w:pPr>
      <w:r>
        <w:rPr>
          <w:rFonts w:ascii="Times New Roman" w:hAnsi="Times New Roman" w:cs="Times New Roman"/>
          <w:noProof/>
          <w:lang w:val="sr-Latn-RS" w:eastAsia="sr-Latn-RS"/>
        </w:rPr>
        <w:drawing>
          <wp:inline distT="0" distB="0" distL="0" distR="0" wp14:anchorId="5B8A9A8D" wp14:editId="6F22CAAA">
            <wp:extent cx="5486400" cy="3053301"/>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02EA62" w14:textId="77777777" w:rsidR="00DE26F4" w:rsidRDefault="00DE26F4" w:rsidP="00964763">
      <w:pPr>
        <w:rPr>
          <w:rFonts w:ascii="Times New Roman" w:hAnsi="Times New Roman" w:cs="Times New Roman"/>
          <w:lang w:val="sr-Cyrl-RS"/>
        </w:rPr>
      </w:pPr>
    </w:p>
    <w:p w14:paraId="2841D58F" w14:textId="476B3088" w:rsidR="00964763" w:rsidRDefault="00964763" w:rsidP="00DE26F4">
      <w:pPr>
        <w:pStyle w:val="a0"/>
      </w:pPr>
      <w:r>
        <w:t>Графикон</w:t>
      </w:r>
      <w:r w:rsidR="00740096">
        <w:t xml:space="preserve"> 5.</w:t>
      </w:r>
      <w:r>
        <w:t xml:space="preserve"> Миграције – Блаце</w:t>
      </w:r>
    </w:p>
    <w:p w14:paraId="00AA989C" w14:textId="77777777" w:rsidR="00964763" w:rsidRPr="006F1522" w:rsidRDefault="00964763" w:rsidP="00DE26F4">
      <w:pPr>
        <w:jc w:val="center"/>
        <w:rPr>
          <w:rFonts w:ascii="Times New Roman" w:hAnsi="Times New Roman" w:cs="Times New Roman"/>
          <w:lang w:val="sr-Cyrl-RS"/>
        </w:rPr>
      </w:pPr>
      <w:r>
        <w:rPr>
          <w:rFonts w:ascii="Times New Roman" w:hAnsi="Times New Roman" w:cs="Times New Roman"/>
          <w:noProof/>
          <w:lang w:val="sr-Latn-RS" w:eastAsia="sr-Latn-RS"/>
        </w:rPr>
        <w:drawing>
          <wp:inline distT="0" distB="0" distL="0" distR="0" wp14:anchorId="1AA73691" wp14:editId="6EE49B46">
            <wp:extent cx="5486400" cy="30493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CEF7D4" w14:textId="2591DD4E" w:rsidR="00393A90" w:rsidRPr="00271976" w:rsidRDefault="00271976" w:rsidP="00393A90">
      <w:pPr>
        <w:pStyle w:val="-3"/>
      </w:pPr>
      <w:bookmarkStart w:id="11" w:name="_Toc55208025"/>
      <w:r>
        <w:t>Образовање</w:t>
      </w:r>
      <w:bookmarkEnd w:id="11"/>
    </w:p>
    <w:p w14:paraId="2101C081" w14:textId="77777777" w:rsidR="008D0848" w:rsidRDefault="008D0848" w:rsidP="00393A90">
      <w:pPr>
        <w:pStyle w:val="Tekst-1"/>
      </w:pPr>
      <w:r>
        <w:t>Образовни систем у општинама које захвата подручје ЛАГ базира се на  следећим образовним установама:</w:t>
      </w:r>
    </w:p>
    <w:p w14:paraId="2B2D90E0" w14:textId="64068494" w:rsidR="00393A90" w:rsidRDefault="008D0848" w:rsidP="00393A90">
      <w:pPr>
        <w:pStyle w:val="Tekst-1"/>
      </w:pPr>
      <w:r>
        <w:t>У Прокупљу ради установа за п</w:t>
      </w:r>
      <w:r w:rsidR="00393A90">
        <w:t>редшколско образовање: „Невен“,</w:t>
      </w:r>
      <w:r>
        <w:t xml:space="preserve"> док се у Блацу налази предшколска установа „Наша радост“.</w:t>
      </w:r>
    </w:p>
    <w:p w14:paraId="228FD388" w14:textId="18BE0BED" w:rsidR="00393A90" w:rsidRDefault="00393A90" w:rsidP="00393A90">
      <w:pPr>
        <w:pStyle w:val="Tekst-1"/>
      </w:pPr>
      <w:r>
        <w:t>Основно образовање</w:t>
      </w:r>
      <w:r w:rsidR="008D0848">
        <w:t xml:space="preserve"> чине следеће школе</w:t>
      </w:r>
      <w:r>
        <w:t>: ОШ „9.октобар“, ОШ „Никодије Стојановић Татко“, ОШ „Ратко Павловић Ћићко“, ОШ „Светислав Мирковић Ненад“, ОШ „Вук Караџић“, ОШ „Свети Сава“</w:t>
      </w:r>
      <w:r w:rsidR="008D0848">
        <w:t xml:space="preserve"> (Прокупље) и Основна школа „Стојан </w:t>
      </w:r>
      <w:r w:rsidR="008D0848">
        <w:lastRenderedPageBreak/>
        <w:t xml:space="preserve">Новаковић“ (Блаце). Осим тога, у Прокупљу </w:t>
      </w:r>
      <w:r w:rsidR="004905EA">
        <w:t>ради и Основна школа</w:t>
      </w:r>
      <w:r>
        <w:t xml:space="preserve"> за образовање одраслих,</w:t>
      </w:r>
      <w:r w:rsidR="004905EA">
        <w:t xml:space="preserve"> као и </w:t>
      </w:r>
      <w:r>
        <w:t>Mузичка школа „Корнелије Станковић“</w:t>
      </w:r>
      <w:r w:rsidR="004905EA">
        <w:t>.</w:t>
      </w:r>
    </w:p>
    <w:p w14:paraId="02B2C27B" w14:textId="1D523FE5" w:rsidR="00393A90" w:rsidRDefault="00393A90" w:rsidP="00393A90">
      <w:pPr>
        <w:pStyle w:val="Tekst-1"/>
      </w:pPr>
      <w:r>
        <w:t>Средње школе: Гимназија</w:t>
      </w:r>
      <w:r w:rsidR="004905EA">
        <w:t xml:space="preserve"> Прокупље</w:t>
      </w:r>
      <w:r>
        <w:t>, Пољопривредна школа „Радош Јовановић Сеља“</w:t>
      </w:r>
      <w:r w:rsidR="004905EA">
        <w:t xml:space="preserve"> Прокупље</w:t>
      </w:r>
      <w:r>
        <w:t>, Медицинска школа „Др Алекса Савић“</w:t>
      </w:r>
      <w:r w:rsidR="004905EA">
        <w:t xml:space="preserve"> Прокупље, </w:t>
      </w:r>
      <w:r>
        <w:t>Техничка школа „15. мај“</w:t>
      </w:r>
      <w:r w:rsidR="004905EA">
        <w:t xml:space="preserve"> Прокупље и Средња школа Блаце.</w:t>
      </w:r>
    </w:p>
    <w:p w14:paraId="4B4AFA19" w14:textId="67E3C95C" w:rsidR="00393A90" w:rsidRDefault="00393A90" w:rsidP="00393A90">
      <w:pPr>
        <w:pStyle w:val="Tekst-1"/>
      </w:pPr>
      <w:r>
        <w:t xml:space="preserve">Високе школе: </w:t>
      </w:r>
      <w:r w:rsidR="009B1B05">
        <w:t xml:space="preserve">Академија струковних студија Јужна Србија </w:t>
      </w:r>
      <w:r w:rsidR="009B1B05">
        <w:rPr>
          <w:lang w:val="sr-Latn-RS"/>
        </w:rPr>
        <w:t xml:space="preserve">– </w:t>
      </w:r>
      <w:r w:rsidR="009B1B05" w:rsidRPr="009B1B05">
        <w:t xml:space="preserve">Одсек за пословне студије </w:t>
      </w:r>
      <w:r w:rsidR="009B1B05">
        <w:t>Блаце</w:t>
      </w:r>
      <w:r w:rsidR="009B1B05">
        <w:rPr>
          <w:lang w:val="sr-Latn-RS"/>
        </w:rPr>
        <w:t xml:space="preserve"> </w:t>
      </w:r>
      <w:r w:rsidR="009B1B05">
        <w:t>одсек за</w:t>
      </w:r>
      <w:r w:rsidR="009B1B05">
        <w:rPr>
          <w:lang w:val="sr-Latn-RS"/>
        </w:rPr>
        <w:t xml:space="preserve"> </w:t>
      </w:r>
      <w:r w:rsidR="009B1B05">
        <w:t>пољопривредно – прехрамбене студије Прокупље.</w:t>
      </w:r>
    </w:p>
    <w:p w14:paraId="1E504BB3" w14:textId="6E609DCE" w:rsidR="00271976" w:rsidRPr="00875EC0" w:rsidRDefault="00271976" w:rsidP="00271976">
      <w:pPr>
        <w:pStyle w:val="a0"/>
      </w:pPr>
      <w:r>
        <w:t>Табела</w:t>
      </w:r>
      <w:r w:rsidR="00012EBF">
        <w:t xml:space="preserve"> 10.</w:t>
      </w:r>
      <w:r>
        <w:t xml:space="preserve"> </w:t>
      </w:r>
      <w:r w:rsidRPr="00875EC0">
        <w:t xml:space="preserve">Топлички округ (Блаце и Прокупље), </w:t>
      </w:r>
      <w:r>
        <w:t>структура образовања</w:t>
      </w:r>
    </w:p>
    <w:tbl>
      <w:tblPr>
        <w:tblStyle w:val="TableGrid"/>
        <w:tblW w:w="9044" w:type="dxa"/>
        <w:tblLayout w:type="fixed"/>
        <w:tblLook w:val="04A0" w:firstRow="1" w:lastRow="0" w:firstColumn="1" w:lastColumn="0" w:noHBand="0" w:noVBand="1"/>
      </w:tblPr>
      <w:tblGrid>
        <w:gridCol w:w="2122"/>
        <w:gridCol w:w="1063"/>
        <w:gridCol w:w="1063"/>
        <w:gridCol w:w="1205"/>
        <w:gridCol w:w="1205"/>
        <w:gridCol w:w="1275"/>
        <w:gridCol w:w="1104"/>
        <w:gridCol w:w="7"/>
      </w:tblGrid>
      <w:tr w:rsidR="00271976" w:rsidRPr="00085303" w14:paraId="501C1171" w14:textId="77777777" w:rsidTr="00DF16F8">
        <w:tc>
          <w:tcPr>
            <w:tcW w:w="2122" w:type="dxa"/>
            <w:shd w:val="clear" w:color="auto" w:fill="8EAADB" w:themeFill="accent1" w:themeFillTint="99"/>
            <w:vAlign w:val="center"/>
          </w:tcPr>
          <w:p w14:paraId="0974E3ED"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Округ</w:t>
            </w:r>
          </w:p>
        </w:tc>
        <w:tc>
          <w:tcPr>
            <w:tcW w:w="4536" w:type="dxa"/>
            <w:gridSpan w:val="4"/>
            <w:shd w:val="clear" w:color="auto" w:fill="8EAADB" w:themeFill="accent1" w:themeFillTint="99"/>
            <w:vAlign w:val="center"/>
          </w:tcPr>
          <w:p w14:paraId="6458C307"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ТОПЛИЧКИ ОКРУГ</w:t>
            </w:r>
          </w:p>
        </w:tc>
        <w:tc>
          <w:tcPr>
            <w:tcW w:w="2386" w:type="dxa"/>
            <w:gridSpan w:val="3"/>
            <w:shd w:val="clear" w:color="auto" w:fill="8EAADB" w:themeFill="accent1" w:themeFillTint="99"/>
            <w:vAlign w:val="center"/>
          </w:tcPr>
          <w:p w14:paraId="3C3ECBC5"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РЕПУБЛИКА СРБИЈА</w:t>
            </w:r>
          </w:p>
        </w:tc>
      </w:tr>
      <w:tr w:rsidR="00271976" w:rsidRPr="00085303" w14:paraId="5648A5AE" w14:textId="77777777" w:rsidTr="00232297">
        <w:tc>
          <w:tcPr>
            <w:tcW w:w="2122" w:type="dxa"/>
            <w:vMerge w:val="restart"/>
            <w:shd w:val="clear" w:color="auto" w:fill="8EAADB" w:themeFill="accent1" w:themeFillTint="99"/>
            <w:vAlign w:val="center"/>
          </w:tcPr>
          <w:p w14:paraId="5FD603D3"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Градови/</w:t>
            </w:r>
          </w:p>
          <w:p w14:paraId="305DA572"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општине</w:t>
            </w:r>
          </w:p>
        </w:tc>
        <w:tc>
          <w:tcPr>
            <w:tcW w:w="2126" w:type="dxa"/>
            <w:gridSpan w:val="2"/>
            <w:shd w:val="clear" w:color="auto" w:fill="8EAADB" w:themeFill="accent1" w:themeFillTint="99"/>
          </w:tcPr>
          <w:p w14:paraId="13A0E08E"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Блаце</w:t>
            </w:r>
          </w:p>
        </w:tc>
        <w:tc>
          <w:tcPr>
            <w:tcW w:w="2410" w:type="dxa"/>
            <w:gridSpan w:val="2"/>
            <w:shd w:val="clear" w:color="auto" w:fill="8EAADB" w:themeFill="accent1" w:themeFillTint="99"/>
          </w:tcPr>
          <w:p w14:paraId="1DD36EC5"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Прокупље</w:t>
            </w:r>
          </w:p>
        </w:tc>
        <w:tc>
          <w:tcPr>
            <w:tcW w:w="2386" w:type="dxa"/>
            <w:gridSpan w:val="3"/>
            <w:shd w:val="clear" w:color="auto" w:fill="8EAADB" w:themeFill="accent1" w:themeFillTint="99"/>
          </w:tcPr>
          <w:p w14:paraId="534D4479" w14:textId="77777777" w:rsidR="00271976" w:rsidRPr="00240E98" w:rsidRDefault="00271976" w:rsidP="00DF16F8">
            <w:pPr>
              <w:jc w:val="center"/>
              <w:rPr>
                <w:rFonts w:ascii="Times New Roman" w:hAnsi="Times New Roman" w:cs="Times New Roman"/>
                <w:b/>
                <w:bCs/>
                <w:lang w:val="sr-Cyrl-RS"/>
              </w:rPr>
            </w:pPr>
            <w:r w:rsidRPr="00240E98">
              <w:rPr>
                <w:rFonts w:ascii="Times New Roman" w:hAnsi="Times New Roman" w:cs="Times New Roman"/>
                <w:b/>
                <w:bCs/>
                <w:lang w:val="sr-Cyrl-RS"/>
              </w:rPr>
              <w:t>Републички просек</w:t>
            </w:r>
          </w:p>
        </w:tc>
      </w:tr>
      <w:tr w:rsidR="00271976" w:rsidRPr="00085303" w14:paraId="7F044503" w14:textId="77777777" w:rsidTr="00232297">
        <w:trPr>
          <w:gridAfter w:val="1"/>
          <w:wAfter w:w="7" w:type="dxa"/>
        </w:trPr>
        <w:tc>
          <w:tcPr>
            <w:tcW w:w="2122" w:type="dxa"/>
            <w:vMerge/>
            <w:shd w:val="clear" w:color="auto" w:fill="8EAADB" w:themeFill="accent1" w:themeFillTint="99"/>
          </w:tcPr>
          <w:p w14:paraId="3C08E83E" w14:textId="77777777" w:rsidR="00271976" w:rsidRPr="00240E98" w:rsidRDefault="00271976" w:rsidP="00DF16F8">
            <w:pPr>
              <w:rPr>
                <w:rFonts w:ascii="Times New Roman" w:hAnsi="Times New Roman" w:cs="Times New Roman"/>
                <w:b/>
                <w:bCs/>
                <w:lang w:val="sr-Cyrl-RS"/>
              </w:rPr>
            </w:pPr>
          </w:p>
        </w:tc>
        <w:tc>
          <w:tcPr>
            <w:tcW w:w="1063" w:type="dxa"/>
            <w:shd w:val="clear" w:color="auto" w:fill="8EAADB" w:themeFill="accent1" w:themeFillTint="99"/>
          </w:tcPr>
          <w:p w14:paraId="3CC258CF"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Номинално</w:t>
            </w:r>
          </w:p>
        </w:tc>
        <w:tc>
          <w:tcPr>
            <w:tcW w:w="1063" w:type="dxa"/>
            <w:shd w:val="clear" w:color="auto" w:fill="8EAADB" w:themeFill="accent1" w:themeFillTint="99"/>
          </w:tcPr>
          <w:p w14:paraId="06D5BF37"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Проценти</w:t>
            </w:r>
          </w:p>
        </w:tc>
        <w:tc>
          <w:tcPr>
            <w:tcW w:w="1205" w:type="dxa"/>
            <w:shd w:val="clear" w:color="auto" w:fill="8EAADB" w:themeFill="accent1" w:themeFillTint="99"/>
          </w:tcPr>
          <w:p w14:paraId="5115556E"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Номинално</w:t>
            </w:r>
          </w:p>
        </w:tc>
        <w:tc>
          <w:tcPr>
            <w:tcW w:w="1205" w:type="dxa"/>
            <w:shd w:val="clear" w:color="auto" w:fill="8EAADB" w:themeFill="accent1" w:themeFillTint="99"/>
          </w:tcPr>
          <w:p w14:paraId="3A7B3C7F"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Проценти</w:t>
            </w:r>
          </w:p>
        </w:tc>
        <w:tc>
          <w:tcPr>
            <w:tcW w:w="1275" w:type="dxa"/>
            <w:shd w:val="clear" w:color="auto" w:fill="8EAADB" w:themeFill="accent1" w:themeFillTint="99"/>
          </w:tcPr>
          <w:p w14:paraId="24CC9E51"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Номинално</w:t>
            </w:r>
          </w:p>
        </w:tc>
        <w:tc>
          <w:tcPr>
            <w:tcW w:w="1104" w:type="dxa"/>
            <w:shd w:val="clear" w:color="auto" w:fill="8EAADB" w:themeFill="accent1" w:themeFillTint="99"/>
          </w:tcPr>
          <w:p w14:paraId="58E25C85" w14:textId="77777777" w:rsidR="00271976" w:rsidRPr="00240E98" w:rsidRDefault="00271976" w:rsidP="00DF16F8">
            <w:pPr>
              <w:rPr>
                <w:rFonts w:ascii="Times New Roman" w:hAnsi="Times New Roman" w:cs="Times New Roman"/>
                <w:b/>
                <w:bCs/>
                <w:sz w:val="20"/>
                <w:szCs w:val="20"/>
                <w:lang w:val="sr-Cyrl-RS"/>
              </w:rPr>
            </w:pPr>
            <w:r w:rsidRPr="00240E98">
              <w:rPr>
                <w:rFonts w:ascii="Times New Roman" w:hAnsi="Times New Roman" w:cs="Times New Roman"/>
                <w:b/>
                <w:bCs/>
                <w:sz w:val="20"/>
                <w:szCs w:val="20"/>
                <w:lang w:val="sr-Cyrl-RS"/>
              </w:rPr>
              <w:t>Проценти</w:t>
            </w:r>
          </w:p>
        </w:tc>
      </w:tr>
      <w:tr w:rsidR="00271976" w:rsidRPr="00085303" w14:paraId="3A540A3F" w14:textId="77777777" w:rsidTr="00232297">
        <w:trPr>
          <w:gridAfter w:val="1"/>
          <w:wAfter w:w="7" w:type="dxa"/>
        </w:trPr>
        <w:tc>
          <w:tcPr>
            <w:tcW w:w="2122" w:type="dxa"/>
            <w:shd w:val="clear" w:color="auto" w:fill="8EAADB" w:themeFill="accent1" w:themeFillTint="99"/>
          </w:tcPr>
          <w:p w14:paraId="61D8771A"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Укупан број становника (номинално)</w:t>
            </w:r>
          </w:p>
        </w:tc>
        <w:tc>
          <w:tcPr>
            <w:tcW w:w="1063" w:type="dxa"/>
            <w:shd w:val="clear" w:color="auto" w:fill="auto"/>
            <w:vAlign w:val="center"/>
          </w:tcPr>
          <w:p w14:paraId="485E19C1"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11370</w:t>
            </w:r>
          </w:p>
        </w:tc>
        <w:tc>
          <w:tcPr>
            <w:tcW w:w="1063" w:type="dxa"/>
            <w:tcBorders>
              <w:bottom w:val="single" w:sz="4" w:space="0" w:color="auto"/>
            </w:tcBorders>
            <w:shd w:val="clear" w:color="auto" w:fill="auto"/>
            <w:vAlign w:val="center"/>
          </w:tcPr>
          <w:p w14:paraId="5D0EDDE0"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w:t>
            </w:r>
          </w:p>
        </w:tc>
        <w:tc>
          <w:tcPr>
            <w:tcW w:w="1205" w:type="dxa"/>
            <w:shd w:val="clear" w:color="auto" w:fill="auto"/>
            <w:vAlign w:val="center"/>
          </w:tcPr>
          <w:p w14:paraId="1E62AF45"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43511</w:t>
            </w:r>
          </w:p>
        </w:tc>
        <w:tc>
          <w:tcPr>
            <w:tcW w:w="1205" w:type="dxa"/>
            <w:shd w:val="clear" w:color="auto" w:fill="auto"/>
            <w:vAlign w:val="center"/>
          </w:tcPr>
          <w:p w14:paraId="4AEABC30"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w:t>
            </w:r>
          </w:p>
        </w:tc>
        <w:tc>
          <w:tcPr>
            <w:tcW w:w="1275" w:type="dxa"/>
            <w:shd w:val="clear" w:color="auto" w:fill="auto"/>
            <w:vAlign w:val="center"/>
          </w:tcPr>
          <w:p w14:paraId="2A425A46" w14:textId="77777777" w:rsidR="00271976" w:rsidRPr="00085303" w:rsidRDefault="00271976" w:rsidP="00DF16F8">
            <w:pPr>
              <w:jc w:val="center"/>
              <w:rPr>
                <w:rFonts w:ascii="Times New Roman" w:hAnsi="Times New Roman" w:cs="Times New Roman"/>
                <w:lang w:val="sr-Cyrl-RS"/>
              </w:rPr>
            </w:pPr>
          </w:p>
        </w:tc>
        <w:tc>
          <w:tcPr>
            <w:tcW w:w="1104" w:type="dxa"/>
            <w:shd w:val="clear" w:color="auto" w:fill="auto"/>
            <w:vAlign w:val="center"/>
          </w:tcPr>
          <w:p w14:paraId="4E8E0B4B"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w:t>
            </w:r>
          </w:p>
        </w:tc>
      </w:tr>
      <w:tr w:rsidR="00271976" w:rsidRPr="00085303" w14:paraId="5DDF6434" w14:textId="77777777" w:rsidTr="00232297">
        <w:trPr>
          <w:gridAfter w:val="1"/>
          <w:wAfter w:w="7" w:type="dxa"/>
        </w:trPr>
        <w:tc>
          <w:tcPr>
            <w:tcW w:w="2122" w:type="dxa"/>
            <w:shd w:val="clear" w:color="auto" w:fill="8EAADB" w:themeFill="accent1" w:themeFillTint="99"/>
          </w:tcPr>
          <w:p w14:paraId="4519F019"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Без школске спреме</w:t>
            </w:r>
          </w:p>
        </w:tc>
        <w:tc>
          <w:tcPr>
            <w:tcW w:w="1063" w:type="dxa"/>
            <w:shd w:val="clear" w:color="auto" w:fill="auto"/>
          </w:tcPr>
          <w:p w14:paraId="0F1CC76D"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832</w:t>
            </w:r>
          </w:p>
        </w:tc>
        <w:tc>
          <w:tcPr>
            <w:tcW w:w="1063" w:type="dxa"/>
            <w:shd w:val="clear" w:color="auto" w:fill="auto"/>
          </w:tcPr>
          <w:p w14:paraId="5E1B59FE"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color w:val="FF0000"/>
                <w:lang w:val="sr-Cyrl-RS"/>
              </w:rPr>
              <w:t>8.06%</w:t>
            </w:r>
          </w:p>
        </w:tc>
        <w:tc>
          <w:tcPr>
            <w:tcW w:w="1205" w:type="dxa"/>
            <w:shd w:val="clear" w:color="auto" w:fill="auto"/>
          </w:tcPr>
          <w:p w14:paraId="5A58445B"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1729</w:t>
            </w:r>
          </w:p>
        </w:tc>
        <w:tc>
          <w:tcPr>
            <w:tcW w:w="1205" w:type="dxa"/>
            <w:shd w:val="clear" w:color="auto" w:fill="auto"/>
          </w:tcPr>
          <w:p w14:paraId="07434428"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4.58%</w:t>
            </w:r>
          </w:p>
        </w:tc>
        <w:tc>
          <w:tcPr>
            <w:tcW w:w="1275" w:type="dxa"/>
            <w:shd w:val="clear" w:color="auto" w:fill="auto"/>
          </w:tcPr>
          <w:p w14:paraId="3A9A77FE"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164884</w:t>
            </w:r>
          </w:p>
        </w:tc>
        <w:tc>
          <w:tcPr>
            <w:tcW w:w="1104" w:type="dxa"/>
            <w:shd w:val="clear" w:color="auto" w:fill="auto"/>
          </w:tcPr>
          <w:p w14:paraId="52FA0D5C"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2.68%</w:t>
            </w:r>
          </w:p>
        </w:tc>
      </w:tr>
      <w:tr w:rsidR="00271976" w:rsidRPr="00085303" w14:paraId="34215901" w14:textId="77777777" w:rsidTr="00232297">
        <w:trPr>
          <w:gridAfter w:val="1"/>
          <w:wAfter w:w="7" w:type="dxa"/>
        </w:trPr>
        <w:tc>
          <w:tcPr>
            <w:tcW w:w="2122" w:type="dxa"/>
            <w:shd w:val="clear" w:color="auto" w:fill="8EAADB" w:themeFill="accent1" w:themeFillTint="99"/>
          </w:tcPr>
          <w:p w14:paraId="5E13FA4D"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Непотпуно основно образовање</w:t>
            </w:r>
          </w:p>
        </w:tc>
        <w:tc>
          <w:tcPr>
            <w:tcW w:w="1063" w:type="dxa"/>
            <w:shd w:val="clear" w:color="auto" w:fill="auto"/>
          </w:tcPr>
          <w:p w14:paraId="3F764CE4"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1570</w:t>
            </w:r>
          </w:p>
        </w:tc>
        <w:tc>
          <w:tcPr>
            <w:tcW w:w="1063" w:type="dxa"/>
            <w:shd w:val="clear" w:color="auto" w:fill="auto"/>
          </w:tcPr>
          <w:p w14:paraId="38709667"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color w:val="FF0000"/>
                <w:lang w:val="sr-Cyrl-RS"/>
              </w:rPr>
              <w:t>15.22%</w:t>
            </w:r>
          </w:p>
        </w:tc>
        <w:tc>
          <w:tcPr>
            <w:tcW w:w="1205" w:type="dxa"/>
            <w:shd w:val="clear" w:color="auto" w:fill="auto"/>
          </w:tcPr>
          <w:p w14:paraId="5246C383"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4437</w:t>
            </w:r>
          </w:p>
        </w:tc>
        <w:tc>
          <w:tcPr>
            <w:tcW w:w="1205" w:type="dxa"/>
            <w:shd w:val="clear" w:color="auto" w:fill="auto"/>
          </w:tcPr>
          <w:p w14:paraId="7FC7471C"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11.76%</w:t>
            </w:r>
          </w:p>
        </w:tc>
        <w:tc>
          <w:tcPr>
            <w:tcW w:w="1275" w:type="dxa"/>
            <w:shd w:val="clear" w:color="auto" w:fill="auto"/>
          </w:tcPr>
          <w:p w14:paraId="1B000B2A"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677499</w:t>
            </w:r>
          </w:p>
        </w:tc>
        <w:tc>
          <w:tcPr>
            <w:tcW w:w="1104" w:type="dxa"/>
            <w:shd w:val="clear" w:color="auto" w:fill="auto"/>
          </w:tcPr>
          <w:p w14:paraId="6BB905D3"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11%</w:t>
            </w:r>
          </w:p>
        </w:tc>
      </w:tr>
      <w:tr w:rsidR="00271976" w:rsidRPr="00085303" w14:paraId="75D3FC7A" w14:textId="77777777" w:rsidTr="00232297">
        <w:trPr>
          <w:gridAfter w:val="1"/>
          <w:wAfter w:w="7" w:type="dxa"/>
        </w:trPr>
        <w:tc>
          <w:tcPr>
            <w:tcW w:w="2122" w:type="dxa"/>
            <w:shd w:val="clear" w:color="auto" w:fill="8EAADB" w:themeFill="accent1" w:themeFillTint="99"/>
          </w:tcPr>
          <w:p w14:paraId="7E603DD2"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Основно образовање</w:t>
            </w:r>
          </w:p>
        </w:tc>
        <w:tc>
          <w:tcPr>
            <w:tcW w:w="1063" w:type="dxa"/>
            <w:shd w:val="clear" w:color="auto" w:fill="auto"/>
          </w:tcPr>
          <w:p w14:paraId="4D30A5E9"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2179</w:t>
            </w:r>
          </w:p>
        </w:tc>
        <w:tc>
          <w:tcPr>
            <w:tcW w:w="1063" w:type="dxa"/>
            <w:shd w:val="clear" w:color="auto" w:fill="auto"/>
          </w:tcPr>
          <w:p w14:paraId="5E59C8F7" w14:textId="77777777" w:rsidR="00271976" w:rsidRPr="00085303" w:rsidRDefault="00271976" w:rsidP="00DF16F8">
            <w:pPr>
              <w:jc w:val="center"/>
              <w:rPr>
                <w:rFonts w:ascii="Times New Roman" w:hAnsi="Times New Roman" w:cs="Times New Roman"/>
                <w:color w:val="FF0000"/>
                <w:lang w:val="sr-Cyrl-RS"/>
              </w:rPr>
            </w:pPr>
            <w:r w:rsidRPr="00085303">
              <w:rPr>
                <w:rFonts w:ascii="Times New Roman" w:hAnsi="Times New Roman" w:cs="Times New Roman"/>
                <w:color w:val="FF0000"/>
                <w:lang w:val="sr-Cyrl-RS"/>
              </w:rPr>
              <w:t>21.12%</w:t>
            </w:r>
          </w:p>
        </w:tc>
        <w:tc>
          <w:tcPr>
            <w:tcW w:w="1205" w:type="dxa"/>
            <w:shd w:val="clear" w:color="auto" w:fill="auto"/>
          </w:tcPr>
          <w:p w14:paraId="357F8618"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8581</w:t>
            </w:r>
          </w:p>
        </w:tc>
        <w:tc>
          <w:tcPr>
            <w:tcW w:w="1205" w:type="dxa"/>
            <w:shd w:val="clear" w:color="auto" w:fill="auto"/>
          </w:tcPr>
          <w:p w14:paraId="784822CD"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22.74%</w:t>
            </w:r>
          </w:p>
        </w:tc>
        <w:tc>
          <w:tcPr>
            <w:tcW w:w="1275" w:type="dxa"/>
            <w:shd w:val="clear" w:color="auto" w:fill="auto"/>
          </w:tcPr>
          <w:p w14:paraId="026C1BBF"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1279116</w:t>
            </w:r>
          </w:p>
        </w:tc>
        <w:tc>
          <w:tcPr>
            <w:tcW w:w="1104" w:type="dxa"/>
            <w:shd w:val="clear" w:color="auto" w:fill="auto"/>
          </w:tcPr>
          <w:p w14:paraId="087118E0"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20.76%</w:t>
            </w:r>
          </w:p>
        </w:tc>
      </w:tr>
      <w:tr w:rsidR="00271976" w:rsidRPr="00085303" w14:paraId="342FA7D6" w14:textId="77777777" w:rsidTr="00232297">
        <w:trPr>
          <w:gridAfter w:val="1"/>
          <w:wAfter w:w="7" w:type="dxa"/>
        </w:trPr>
        <w:tc>
          <w:tcPr>
            <w:tcW w:w="2122" w:type="dxa"/>
            <w:shd w:val="clear" w:color="auto" w:fill="8EAADB" w:themeFill="accent1" w:themeFillTint="99"/>
          </w:tcPr>
          <w:p w14:paraId="6089C081"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Средње образовање</w:t>
            </w:r>
          </w:p>
        </w:tc>
        <w:tc>
          <w:tcPr>
            <w:tcW w:w="1063" w:type="dxa"/>
            <w:shd w:val="clear" w:color="auto" w:fill="auto"/>
          </w:tcPr>
          <w:p w14:paraId="1FAB1106"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4642</w:t>
            </w:r>
          </w:p>
        </w:tc>
        <w:tc>
          <w:tcPr>
            <w:tcW w:w="1063" w:type="dxa"/>
            <w:shd w:val="clear" w:color="auto" w:fill="auto"/>
          </w:tcPr>
          <w:p w14:paraId="00B8C5D6" w14:textId="77777777" w:rsidR="00271976" w:rsidRPr="00085303" w:rsidRDefault="00271976" w:rsidP="00DF16F8">
            <w:pPr>
              <w:jc w:val="center"/>
              <w:rPr>
                <w:rFonts w:ascii="Times New Roman" w:hAnsi="Times New Roman" w:cs="Times New Roman"/>
                <w:color w:val="FF0000"/>
                <w:lang w:val="sr-Cyrl-RS"/>
              </w:rPr>
            </w:pPr>
            <w:r w:rsidRPr="00085303">
              <w:rPr>
                <w:rFonts w:ascii="Times New Roman" w:hAnsi="Times New Roman" w:cs="Times New Roman"/>
                <w:color w:val="FF0000"/>
                <w:lang w:val="sr-Cyrl-RS"/>
              </w:rPr>
              <w:t>44.99%</w:t>
            </w:r>
          </w:p>
        </w:tc>
        <w:tc>
          <w:tcPr>
            <w:tcW w:w="1205" w:type="dxa"/>
            <w:shd w:val="clear" w:color="auto" w:fill="auto"/>
          </w:tcPr>
          <w:p w14:paraId="4B8A4E20"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17777</w:t>
            </w:r>
          </w:p>
        </w:tc>
        <w:tc>
          <w:tcPr>
            <w:tcW w:w="1205" w:type="dxa"/>
            <w:shd w:val="clear" w:color="auto" w:fill="auto"/>
          </w:tcPr>
          <w:p w14:paraId="13E401FD"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47.12%</w:t>
            </w:r>
          </w:p>
        </w:tc>
        <w:tc>
          <w:tcPr>
            <w:tcW w:w="1275" w:type="dxa"/>
            <w:shd w:val="clear" w:color="auto" w:fill="auto"/>
          </w:tcPr>
          <w:p w14:paraId="2D2CF61E"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3015092</w:t>
            </w:r>
          </w:p>
        </w:tc>
        <w:tc>
          <w:tcPr>
            <w:tcW w:w="1104" w:type="dxa"/>
            <w:shd w:val="clear" w:color="auto" w:fill="auto"/>
          </w:tcPr>
          <w:p w14:paraId="30EAA102"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48.93%</w:t>
            </w:r>
          </w:p>
        </w:tc>
      </w:tr>
      <w:tr w:rsidR="00271976" w:rsidRPr="00085303" w14:paraId="4B1B2517" w14:textId="77777777" w:rsidTr="00232297">
        <w:trPr>
          <w:gridAfter w:val="1"/>
          <w:wAfter w:w="7" w:type="dxa"/>
        </w:trPr>
        <w:tc>
          <w:tcPr>
            <w:tcW w:w="2122" w:type="dxa"/>
            <w:shd w:val="clear" w:color="auto" w:fill="8EAADB" w:themeFill="accent1" w:themeFillTint="99"/>
          </w:tcPr>
          <w:p w14:paraId="23469BFA"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Више образовање</w:t>
            </w:r>
          </w:p>
        </w:tc>
        <w:tc>
          <w:tcPr>
            <w:tcW w:w="1063" w:type="dxa"/>
            <w:shd w:val="clear" w:color="auto" w:fill="auto"/>
          </w:tcPr>
          <w:p w14:paraId="66DA9A7D"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517</w:t>
            </w:r>
          </w:p>
        </w:tc>
        <w:tc>
          <w:tcPr>
            <w:tcW w:w="1063" w:type="dxa"/>
            <w:shd w:val="clear" w:color="auto" w:fill="auto"/>
          </w:tcPr>
          <w:p w14:paraId="6B6590FD" w14:textId="77777777" w:rsidR="00271976" w:rsidRPr="00085303" w:rsidRDefault="00271976" w:rsidP="00DF16F8">
            <w:pPr>
              <w:jc w:val="center"/>
              <w:rPr>
                <w:rFonts w:ascii="Times New Roman" w:hAnsi="Times New Roman" w:cs="Times New Roman"/>
                <w:color w:val="FF0000"/>
                <w:lang w:val="sr-Cyrl-RS"/>
              </w:rPr>
            </w:pPr>
            <w:r w:rsidRPr="00085303">
              <w:rPr>
                <w:rFonts w:ascii="Times New Roman" w:hAnsi="Times New Roman" w:cs="Times New Roman"/>
                <w:color w:val="FF0000"/>
                <w:lang w:val="sr-Cyrl-RS"/>
              </w:rPr>
              <w:t>5.01%</w:t>
            </w:r>
          </w:p>
        </w:tc>
        <w:tc>
          <w:tcPr>
            <w:tcW w:w="1205" w:type="dxa"/>
            <w:shd w:val="clear" w:color="auto" w:fill="auto"/>
          </w:tcPr>
          <w:p w14:paraId="3278231C"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2302</w:t>
            </w:r>
          </w:p>
        </w:tc>
        <w:tc>
          <w:tcPr>
            <w:tcW w:w="1205" w:type="dxa"/>
            <w:shd w:val="clear" w:color="auto" w:fill="auto"/>
          </w:tcPr>
          <w:p w14:paraId="45E7C3E9"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6.10%</w:t>
            </w:r>
          </w:p>
        </w:tc>
        <w:tc>
          <w:tcPr>
            <w:tcW w:w="1275" w:type="dxa"/>
            <w:shd w:val="clear" w:color="auto" w:fill="auto"/>
          </w:tcPr>
          <w:p w14:paraId="67539A35"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348335</w:t>
            </w:r>
          </w:p>
        </w:tc>
        <w:tc>
          <w:tcPr>
            <w:tcW w:w="1104" w:type="dxa"/>
            <w:shd w:val="clear" w:color="auto" w:fill="auto"/>
          </w:tcPr>
          <w:p w14:paraId="0D4FD7EC"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5.65%</w:t>
            </w:r>
          </w:p>
        </w:tc>
      </w:tr>
      <w:tr w:rsidR="00271976" w:rsidRPr="00085303" w14:paraId="0D2938C7" w14:textId="77777777" w:rsidTr="00232297">
        <w:trPr>
          <w:gridAfter w:val="1"/>
          <w:wAfter w:w="7" w:type="dxa"/>
        </w:trPr>
        <w:tc>
          <w:tcPr>
            <w:tcW w:w="2122" w:type="dxa"/>
            <w:shd w:val="clear" w:color="auto" w:fill="8EAADB" w:themeFill="accent1" w:themeFillTint="99"/>
          </w:tcPr>
          <w:p w14:paraId="6B6AD193"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Високо образовање</w:t>
            </w:r>
          </w:p>
        </w:tc>
        <w:tc>
          <w:tcPr>
            <w:tcW w:w="1063" w:type="dxa"/>
            <w:shd w:val="clear" w:color="auto" w:fill="auto"/>
          </w:tcPr>
          <w:p w14:paraId="7BF6D5A8"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554</w:t>
            </w:r>
          </w:p>
        </w:tc>
        <w:tc>
          <w:tcPr>
            <w:tcW w:w="1063" w:type="dxa"/>
            <w:shd w:val="clear" w:color="auto" w:fill="auto"/>
          </w:tcPr>
          <w:p w14:paraId="476F858B" w14:textId="77777777" w:rsidR="00271976" w:rsidRPr="00085303" w:rsidRDefault="00271976" w:rsidP="00DF16F8">
            <w:pPr>
              <w:jc w:val="center"/>
              <w:rPr>
                <w:rFonts w:ascii="Times New Roman" w:hAnsi="Times New Roman" w:cs="Times New Roman"/>
                <w:color w:val="FF0000"/>
                <w:lang w:val="sr-Cyrl-RS"/>
              </w:rPr>
            </w:pPr>
            <w:r w:rsidRPr="00085303">
              <w:rPr>
                <w:rFonts w:ascii="Times New Roman" w:hAnsi="Times New Roman" w:cs="Times New Roman"/>
                <w:color w:val="FF0000"/>
                <w:lang w:val="sr-Cyrl-RS"/>
              </w:rPr>
              <w:t>5.37%</w:t>
            </w:r>
          </w:p>
        </w:tc>
        <w:tc>
          <w:tcPr>
            <w:tcW w:w="1205" w:type="dxa"/>
            <w:shd w:val="clear" w:color="auto" w:fill="auto"/>
          </w:tcPr>
          <w:p w14:paraId="1C62F48C"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2700</w:t>
            </w:r>
          </w:p>
        </w:tc>
        <w:tc>
          <w:tcPr>
            <w:tcW w:w="1205" w:type="dxa"/>
            <w:shd w:val="clear" w:color="auto" w:fill="auto"/>
          </w:tcPr>
          <w:p w14:paraId="1B4C6A8A"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7.16%</w:t>
            </w:r>
          </w:p>
        </w:tc>
        <w:tc>
          <w:tcPr>
            <w:tcW w:w="1275" w:type="dxa"/>
            <w:shd w:val="clear" w:color="auto" w:fill="auto"/>
          </w:tcPr>
          <w:p w14:paraId="5D9FF524"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652234</w:t>
            </w:r>
          </w:p>
        </w:tc>
        <w:tc>
          <w:tcPr>
            <w:tcW w:w="1104" w:type="dxa"/>
            <w:shd w:val="clear" w:color="auto" w:fill="auto"/>
          </w:tcPr>
          <w:p w14:paraId="5C8C4B14"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10.59%</w:t>
            </w:r>
          </w:p>
        </w:tc>
      </w:tr>
      <w:tr w:rsidR="00271976" w:rsidRPr="00085303" w14:paraId="7BF4CCB6" w14:textId="77777777" w:rsidTr="00DF16F8">
        <w:trPr>
          <w:gridAfter w:val="1"/>
          <w:wAfter w:w="7" w:type="dxa"/>
        </w:trPr>
        <w:tc>
          <w:tcPr>
            <w:tcW w:w="2122" w:type="dxa"/>
            <w:shd w:val="clear" w:color="auto" w:fill="8EAADB" w:themeFill="accent1" w:themeFillTint="99"/>
          </w:tcPr>
          <w:p w14:paraId="0173DD19"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 xml:space="preserve">Непознато </w:t>
            </w:r>
          </w:p>
        </w:tc>
        <w:tc>
          <w:tcPr>
            <w:tcW w:w="1063" w:type="dxa"/>
          </w:tcPr>
          <w:p w14:paraId="54F5C167"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23</w:t>
            </w:r>
          </w:p>
        </w:tc>
        <w:tc>
          <w:tcPr>
            <w:tcW w:w="1063" w:type="dxa"/>
          </w:tcPr>
          <w:p w14:paraId="73096488" w14:textId="77777777" w:rsidR="00271976" w:rsidRPr="00085303" w:rsidRDefault="00271976" w:rsidP="00DF16F8">
            <w:pPr>
              <w:jc w:val="center"/>
              <w:rPr>
                <w:rFonts w:ascii="Times New Roman" w:hAnsi="Times New Roman" w:cs="Times New Roman"/>
                <w:color w:val="FF0000"/>
                <w:lang w:val="sr-Cyrl-RS"/>
              </w:rPr>
            </w:pPr>
            <w:r w:rsidRPr="00085303">
              <w:rPr>
                <w:rFonts w:ascii="Times New Roman" w:hAnsi="Times New Roman" w:cs="Times New Roman"/>
                <w:color w:val="FF0000"/>
                <w:lang w:val="sr-Cyrl-RS"/>
              </w:rPr>
              <w:t>0.22%</w:t>
            </w:r>
          </w:p>
        </w:tc>
        <w:tc>
          <w:tcPr>
            <w:tcW w:w="1205" w:type="dxa"/>
          </w:tcPr>
          <w:p w14:paraId="4A62B216"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lang w:val="sr-Cyrl-RS"/>
              </w:rPr>
              <w:t>203</w:t>
            </w:r>
          </w:p>
        </w:tc>
        <w:tc>
          <w:tcPr>
            <w:tcW w:w="1205" w:type="dxa"/>
          </w:tcPr>
          <w:p w14:paraId="4756D96C" w14:textId="77777777" w:rsidR="00271976" w:rsidRPr="00085303" w:rsidRDefault="00271976" w:rsidP="00DF16F8">
            <w:pPr>
              <w:jc w:val="center"/>
              <w:rPr>
                <w:rFonts w:ascii="Times New Roman" w:hAnsi="Times New Roman" w:cs="Times New Roman"/>
                <w:color w:val="0070C0"/>
                <w:lang w:val="sr-Cyrl-RS"/>
              </w:rPr>
            </w:pPr>
            <w:r w:rsidRPr="00085303">
              <w:rPr>
                <w:rFonts w:ascii="Times New Roman" w:hAnsi="Times New Roman" w:cs="Times New Roman"/>
                <w:color w:val="0070C0"/>
                <w:lang w:val="sr-Cyrl-RS"/>
              </w:rPr>
              <w:t>0.54%</w:t>
            </w:r>
          </w:p>
        </w:tc>
        <w:tc>
          <w:tcPr>
            <w:tcW w:w="1275" w:type="dxa"/>
          </w:tcPr>
          <w:p w14:paraId="69DFDF7F" w14:textId="77777777" w:rsidR="00271976" w:rsidRPr="00085303" w:rsidRDefault="00271976" w:rsidP="00DF16F8">
            <w:pPr>
              <w:jc w:val="center"/>
              <w:rPr>
                <w:rFonts w:ascii="Times New Roman" w:hAnsi="Times New Roman" w:cs="Times New Roman"/>
                <w:lang w:val="sr-Cyrl-RS"/>
              </w:rPr>
            </w:pPr>
            <w:r w:rsidRPr="00085303">
              <w:rPr>
                <w:rFonts w:ascii="Times New Roman" w:hAnsi="Times New Roman" w:cs="Times New Roman"/>
              </w:rPr>
              <w:t>24424</w:t>
            </w:r>
          </w:p>
        </w:tc>
        <w:tc>
          <w:tcPr>
            <w:tcW w:w="1104" w:type="dxa"/>
          </w:tcPr>
          <w:p w14:paraId="4C8DEE1E" w14:textId="77777777" w:rsidR="00271976" w:rsidRPr="00085303" w:rsidRDefault="00271976" w:rsidP="00DF16F8">
            <w:pPr>
              <w:jc w:val="center"/>
              <w:rPr>
                <w:rFonts w:ascii="Times New Roman" w:hAnsi="Times New Roman" w:cs="Times New Roman"/>
                <w:b/>
                <w:bCs/>
                <w:lang w:val="sr-Cyrl-RS"/>
              </w:rPr>
            </w:pPr>
            <w:r w:rsidRPr="00085303">
              <w:rPr>
                <w:rFonts w:ascii="Times New Roman" w:hAnsi="Times New Roman" w:cs="Times New Roman"/>
                <w:b/>
                <w:bCs/>
                <w:lang w:val="sr-Cyrl-RS"/>
              </w:rPr>
              <w:t>0.40%</w:t>
            </w:r>
          </w:p>
        </w:tc>
      </w:tr>
      <w:tr w:rsidR="00271976" w:rsidRPr="0006177E" w14:paraId="5AB3121A" w14:textId="77777777" w:rsidTr="00DF16F8">
        <w:trPr>
          <w:gridAfter w:val="1"/>
          <w:wAfter w:w="7" w:type="dxa"/>
        </w:trPr>
        <w:tc>
          <w:tcPr>
            <w:tcW w:w="2122" w:type="dxa"/>
            <w:shd w:val="clear" w:color="auto" w:fill="8EAADB" w:themeFill="accent1" w:themeFillTint="99"/>
          </w:tcPr>
          <w:p w14:paraId="795E5DD2" w14:textId="77777777" w:rsidR="00271976" w:rsidRPr="00240E98" w:rsidRDefault="00271976" w:rsidP="00DF16F8">
            <w:pPr>
              <w:rPr>
                <w:rFonts w:ascii="Times New Roman" w:hAnsi="Times New Roman" w:cs="Times New Roman"/>
                <w:b/>
                <w:bCs/>
                <w:lang w:val="sr-Cyrl-RS"/>
              </w:rPr>
            </w:pPr>
            <w:r w:rsidRPr="00240E98">
              <w:rPr>
                <w:rFonts w:ascii="Times New Roman" w:hAnsi="Times New Roman" w:cs="Times New Roman"/>
                <w:b/>
                <w:bCs/>
                <w:lang w:val="sr-Cyrl-RS"/>
              </w:rPr>
              <w:t>Укупно, проценти</w:t>
            </w:r>
          </w:p>
        </w:tc>
        <w:tc>
          <w:tcPr>
            <w:tcW w:w="1063" w:type="dxa"/>
            <w:shd w:val="clear" w:color="auto" w:fill="8EAADB" w:themeFill="accent1" w:themeFillTint="99"/>
          </w:tcPr>
          <w:p w14:paraId="34423D4C" w14:textId="77777777" w:rsidR="00271976" w:rsidRPr="0006177E" w:rsidRDefault="00271976" w:rsidP="00DF16F8">
            <w:pPr>
              <w:jc w:val="center"/>
              <w:rPr>
                <w:rFonts w:ascii="Times New Roman" w:hAnsi="Times New Roman" w:cs="Times New Roman"/>
                <w:b/>
                <w:bCs/>
              </w:rPr>
            </w:pPr>
            <w:r w:rsidRPr="0006177E">
              <w:rPr>
                <w:rFonts w:ascii="Times New Roman" w:hAnsi="Times New Roman" w:cs="Times New Roman"/>
                <w:b/>
                <w:bCs/>
              </w:rPr>
              <w:t>10317</w:t>
            </w:r>
          </w:p>
        </w:tc>
        <w:tc>
          <w:tcPr>
            <w:tcW w:w="1063" w:type="dxa"/>
            <w:shd w:val="clear" w:color="auto" w:fill="8EAADB" w:themeFill="accent1" w:themeFillTint="99"/>
          </w:tcPr>
          <w:p w14:paraId="6C3657C3" w14:textId="77777777" w:rsidR="00271976" w:rsidRPr="0006177E" w:rsidRDefault="00271976" w:rsidP="00DF16F8">
            <w:pPr>
              <w:jc w:val="center"/>
              <w:rPr>
                <w:rFonts w:ascii="Times New Roman" w:hAnsi="Times New Roman" w:cs="Times New Roman"/>
                <w:b/>
                <w:bCs/>
                <w:lang w:val="sr-Cyrl-RS"/>
              </w:rPr>
            </w:pPr>
            <w:r w:rsidRPr="0006177E">
              <w:rPr>
                <w:rFonts w:ascii="Times New Roman" w:hAnsi="Times New Roman" w:cs="Times New Roman"/>
                <w:b/>
                <w:bCs/>
                <w:lang w:val="sr-Cyrl-RS"/>
              </w:rPr>
              <w:t>100%</w:t>
            </w:r>
          </w:p>
        </w:tc>
        <w:tc>
          <w:tcPr>
            <w:tcW w:w="1205" w:type="dxa"/>
            <w:shd w:val="clear" w:color="auto" w:fill="8EAADB" w:themeFill="accent1" w:themeFillTint="99"/>
          </w:tcPr>
          <w:p w14:paraId="7BD1B4CB" w14:textId="77777777" w:rsidR="00271976" w:rsidRPr="0006177E" w:rsidRDefault="00271976" w:rsidP="00DF16F8">
            <w:pPr>
              <w:jc w:val="center"/>
              <w:rPr>
                <w:rFonts w:ascii="Times New Roman" w:hAnsi="Times New Roman" w:cs="Times New Roman"/>
                <w:b/>
                <w:bCs/>
                <w:lang w:val="sr-Cyrl-RS"/>
              </w:rPr>
            </w:pPr>
            <w:r w:rsidRPr="0006177E">
              <w:rPr>
                <w:rFonts w:ascii="Times New Roman" w:hAnsi="Times New Roman" w:cs="Times New Roman"/>
                <w:b/>
                <w:bCs/>
              </w:rPr>
              <w:t>37729</w:t>
            </w:r>
          </w:p>
        </w:tc>
        <w:tc>
          <w:tcPr>
            <w:tcW w:w="1205" w:type="dxa"/>
            <w:shd w:val="clear" w:color="auto" w:fill="8EAADB" w:themeFill="accent1" w:themeFillTint="99"/>
          </w:tcPr>
          <w:p w14:paraId="3711D1BF" w14:textId="77777777" w:rsidR="00271976" w:rsidRPr="0006177E" w:rsidRDefault="00271976" w:rsidP="00DF16F8">
            <w:pPr>
              <w:jc w:val="center"/>
              <w:rPr>
                <w:rFonts w:ascii="Times New Roman" w:hAnsi="Times New Roman" w:cs="Times New Roman"/>
                <w:b/>
                <w:bCs/>
                <w:lang w:val="sr-Cyrl-RS"/>
              </w:rPr>
            </w:pPr>
            <w:r w:rsidRPr="0006177E">
              <w:rPr>
                <w:rFonts w:ascii="Times New Roman" w:hAnsi="Times New Roman" w:cs="Times New Roman"/>
                <w:b/>
                <w:bCs/>
                <w:lang w:val="sr-Cyrl-RS"/>
              </w:rPr>
              <w:t>100%</w:t>
            </w:r>
          </w:p>
        </w:tc>
        <w:tc>
          <w:tcPr>
            <w:tcW w:w="1275" w:type="dxa"/>
            <w:shd w:val="clear" w:color="auto" w:fill="8EAADB" w:themeFill="accent1" w:themeFillTint="99"/>
          </w:tcPr>
          <w:p w14:paraId="41A86BEC" w14:textId="77777777" w:rsidR="00271976" w:rsidRPr="0006177E" w:rsidRDefault="00271976" w:rsidP="00DF16F8">
            <w:pPr>
              <w:jc w:val="center"/>
              <w:rPr>
                <w:rFonts w:ascii="Times New Roman" w:hAnsi="Times New Roman" w:cs="Times New Roman"/>
                <w:b/>
                <w:bCs/>
                <w:lang w:val="sr-Cyrl-RS"/>
              </w:rPr>
            </w:pPr>
            <w:r w:rsidRPr="0006177E">
              <w:rPr>
                <w:rFonts w:ascii="Times New Roman" w:hAnsi="Times New Roman" w:cs="Times New Roman"/>
                <w:b/>
                <w:bCs/>
              </w:rPr>
              <w:t>6161584</w:t>
            </w:r>
          </w:p>
        </w:tc>
        <w:tc>
          <w:tcPr>
            <w:tcW w:w="1104" w:type="dxa"/>
            <w:shd w:val="clear" w:color="auto" w:fill="8EAADB" w:themeFill="accent1" w:themeFillTint="99"/>
          </w:tcPr>
          <w:p w14:paraId="754106E9" w14:textId="77777777" w:rsidR="00271976" w:rsidRPr="0006177E" w:rsidRDefault="00271976" w:rsidP="00DF16F8">
            <w:pPr>
              <w:jc w:val="center"/>
              <w:rPr>
                <w:rFonts w:ascii="Times New Roman" w:hAnsi="Times New Roman" w:cs="Times New Roman"/>
                <w:b/>
                <w:bCs/>
                <w:lang w:val="sr-Cyrl-RS"/>
              </w:rPr>
            </w:pPr>
            <w:r w:rsidRPr="0006177E">
              <w:rPr>
                <w:rFonts w:ascii="Times New Roman" w:hAnsi="Times New Roman" w:cs="Times New Roman"/>
                <w:b/>
                <w:bCs/>
                <w:lang w:val="sr-Cyrl-RS"/>
              </w:rPr>
              <w:t>100%</w:t>
            </w:r>
          </w:p>
        </w:tc>
      </w:tr>
    </w:tbl>
    <w:p w14:paraId="22CA5A38" w14:textId="77777777" w:rsidR="00271976" w:rsidRPr="00085303" w:rsidRDefault="00271976" w:rsidP="00271976">
      <w:pPr>
        <w:jc w:val="right"/>
        <w:rPr>
          <w:rFonts w:ascii="Times New Roman" w:hAnsi="Times New Roman" w:cs="Times New Roman"/>
          <w:i/>
          <w:iCs/>
          <w:sz w:val="20"/>
          <w:szCs w:val="20"/>
          <w:lang w:val="sr-Cyrl-RS"/>
        </w:rPr>
      </w:pPr>
      <w:r w:rsidRPr="00085303">
        <w:rPr>
          <w:rFonts w:ascii="Times New Roman" w:hAnsi="Times New Roman" w:cs="Times New Roman"/>
          <w:i/>
          <w:iCs/>
          <w:sz w:val="20"/>
          <w:szCs w:val="20"/>
          <w:lang w:val="sr-Cyrl-RS"/>
        </w:rPr>
        <w:t>Извор, РЗС, Становништво, општине и региони у Србији 2014. (Становништво старо 15 и више година, према школској спреми и полу, по попису 2011., страна 96).</w:t>
      </w:r>
    </w:p>
    <w:p w14:paraId="7363777A" w14:textId="77777777" w:rsidR="00271976" w:rsidRDefault="00271976" w:rsidP="00271976">
      <w:pPr>
        <w:jc w:val="center"/>
        <w:rPr>
          <w:lang w:val="sr-Cyrl-RS"/>
        </w:rPr>
      </w:pPr>
      <w:r>
        <w:rPr>
          <w:noProof/>
          <w:lang w:val="sr-Latn-RS" w:eastAsia="sr-Latn-RS"/>
        </w:rPr>
        <w:drawing>
          <wp:inline distT="0" distB="0" distL="0" distR="0" wp14:anchorId="6901B879" wp14:editId="3D5AA9CD">
            <wp:extent cx="5514975" cy="26574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EB7FDA" w14:textId="77777777" w:rsidR="00271976" w:rsidRPr="00085303" w:rsidRDefault="00271976" w:rsidP="00271976">
      <w:pPr>
        <w:jc w:val="right"/>
        <w:rPr>
          <w:rFonts w:ascii="Times New Roman" w:hAnsi="Times New Roman" w:cs="Times New Roman"/>
          <w:i/>
          <w:iCs/>
          <w:sz w:val="20"/>
          <w:szCs w:val="20"/>
          <w:lang w:val="sr-Cyrl-RS"/>
        </w:rPr>
      </w:pPr>
      <w:r w:rsidRPr="00085303">
        <w:rPr>
          <w:rFonts w:ascii="Times New Roman" w:hAnsi="Times New Roman" w:cs="Times New Roman"/>
          <w:i/>
          <w:iCs/>
          <w:sz w:val="20"/>
          <w:szCs w:val="20"/>
          <w:lang w:val="sr-Cyrl-RS"/>
        </w:rPr>
        <w:t xml:space="preserve">Извор, РЗС, Становништво, општине и региони у Србији 2014. (Становништво старо 15 и више </w:t>
      </w:r>
      <w:r>
        <w:rPr>
          <w:rFonts w:ascii="Times New Roman" w:hAnsi="Times New Roman" w:cs="Times New Roman"/>
          <w:i/>
          <w:iCs/>
          <w:sz w:val="20"/>
          <w:szCs w:val="20"/>
          <w:lang w:val="sr-Cyrl-RS"/>
        </w:rPr>
        <w:t>г</w:t>
      </w:r>
      <w:r w:rsidRPr="00085303">
        <w:rPr>
          <w:rFonts w:ascii="Times New Roman" w:hAnsi="Times New Roman" w:cs="Times New Roman"/>
          <w:i/>
          <w:iCs/>
          <w:sz w:val="20"/>
          <w:szCs w:val="20"/>
          <w:lang w:val="sr-Cyrl-RS"/>
        </w:rPr>
        <w:t>одина, према школској спреми и полу, по попису 2011)</w:t>
      </w:r>
    </w:p>
    <w:p w14:paraId="6A94A3D6" w14:textId="77777777" w:rsidR="00271976" w:rsidRPr="00EB0D19" w:rsidRDefault="00271976" w:rsidP="00271976">
      <w:pPr>
        <w:pStyle w:val="Tekst-1"/>
        <w:rPr>
          <w:b/>
          <w:bCs/>
        </w:rPr>
      </w:pPr>
      <w:r w:rsidRPr="00EB0D19">
        <w:rPr>
          <w:b/>
          <w:bCs/>
        </w:rPr>
        <w:lastRenderedPageBreak/>
        <w:t>Интерпретација података:</w:t>
      </w:r>
    </w:p>
    <w:p w14:paraId="635E3A2F" w14:textId="77777777" w:rsidR="00271976" w:rsidRDefault="00271976" w:rsidP="00271976">
      <w:pPr>
        <w:pStyle w:val="Tekst-1"/>
      </w:pPr>
      <w:r w:rsidRPr="00EB0D19">
        <w:rPr>
          <w:b/>
          <w:bCs/>
        </w:rPr>
        <w:t>Генерални налаз 1:</w:t>
      </w:r>
      <w:r w:rsidRPr="00EB0D19">
        <w:t xml:space="preserve"> у односу на републички просек, значајно је </w:t>
      </w:r>
      <w:r>
        <w:t>већи</w:t>
      </w:r>
      <w:r w:rsidRPr="00EB0D19">
        <w:t xml:space="preserve"> проценат</w:t>
      </w:r>
      <w:r>
        <w:t xml:space="preserve"> људи у Прокупљу и Блацу без икаквог образовања и са непотпуним основним образовањем.</w:t>
      </w:r>
    </w:p>
    <w:p w14:paraId="30EAF710" w14:textId="77777777" w:rsidR="00271976" w:rsidRDefault="00271976" w:rsidP="00271976">
      <w:pPr>
        <w:pStyle w:val="Tekst-1"/>
      </w:pPr>
      <w:r>
        <w:t xml:space="preserve">Већи је проценат људи </w:t>
      </w:r>
      <w:r w:rsidRPr="00873796">
        <w:rPr>
          <w:b/>
          <w:bCs/>
        </w:rPr>
        <w:t>без икаквог образовања</w:t>
      </w:r>
      <w:r>
        <w:t>. У Прокупљу (</w:t>
      </w:r>
      <w:r w:rsidRPr="00683406">
        <w:rPr>
          <w:color w:val="0070C0"/>
        </w:rPr>
        <w:t>4</w:t>
      </w:r>
      <w:r>
        <w:rPr>
          <w:color w:val="0070C0"/>
        </w:rPr>
        <w:t>,</w:t>
      </w:r>
      <w:r w:rsidRPr="00683406">
        <w:rPr>
          <w:color w:val="0070C0"/>
        </w:rPr>
        <w:t>58%</w:t>
      </w:r>
      <w:r w:rsidRPr="00683406">
        <w:t>)</w:t>
      </w:r>
      <w:r>
        <w:rPr>
          <w:color w:val="0070C0"/>
        </w:rPr>
        <w:t xml:space="preserve"> </w:t>
      </w:r>
      <w:r>
        <w:t>а поготово у Блацу (</w:t>
      </w:r>
      <w:r w:rsidRPr="007F1A87">
        <w:rPr>
          <w:color w:val="FF0000"/>
        </w:rPr>
        <w:t>8</w:t>
      </w:r>
      <w:r>
        <w:rPr>
          <w:color w:val="FF0000"/>
        </w:rPr>
        <w:t>,</w:t>
      </w:r>
      <w:r w:rsidRPr="007F1A87">
        <w:rPr>
          <w:color w:val="FF0000"/>
        </w:rPr>
        <w:t>06%</w:t>
      </w:r>
      <w:r w:rsidRPr="00683406">
        <w:t>)</w:t>
      </w:r>
      <w:r>
        <w:t xml:space="preserve"> у односу на републички просек (2,68%). Сагласно наведеном, већи је и проценат људи са непотпуним основним образовањем у Блацу и Прокупљу. Док Прокупље броји </w:t>
      </w:r>
      <w:r w:rsidRPr="00683406">
        <w:rPr>
          <w:color w:val="0070C0"/>
        </w:rPr>
        <w:t>11</w:t>
      </w:r>
      <w:r>
        <w:rPr>
          <w:color w:val="0070C0"/>
        </w:rPr>
        <w:t>,</w:t>
      </w:r>
      <w:r w:rsidRPr="00683406">
        <w:rPr>
          <w:color w:val="0070C0"/>
        </w:rPr>
        <w:t>76%</w:t>
      </w:r>
      <w:r>
        <w:t>, што је у сагласности са републичким просеком, у Блацу је тај број знатно виши (</w:t>
      </w:r>
      <w:r w:rsidRPr="00873796">
        <w:rPr>
          <w:color w:val="FF0000"/>
        </w:rPr>
        <w:t>15</w:t>
      </w:r>
      <w:r>
        <w:rPr>
          <w:color w:val="FF0000"/>
        </w:rPr>
        <w:t>,</w:t>
      </w:r>
      <w:r w:rsidRPr="00873796">
        <w:rPr>
          <w:color w:val="FF0000"/>
        </w:rPr>
        <w:t>22</w:t>
      </w:r>
      <w:r>
        <w:rPr>
          <w:color w:val="FF0000"/>
        </w:rPr>
        <w:t>%</w:t>
      </w:r>
      <w:r w:rsidRPr="00683406">
        <w:rPr>
          <w:color w:val="FF0000"/>
        </w:rPr>
        <w:t xml:space="preserve"> </w:t>
      </w:r>
      <w:r>
        <w:t xml:space="preserve">наспрам </w:t>
      </w:r>
      <w:r w:rsidRPr="00683406">
        <w:t>11%</w:t>
      </w:r>
      <w:r>
        <w:t xml:space="preserve"> републичког просека). Са основним образовањем је и у Блацу и у Прокупљу евидентиран нешто већи проценат у односу на републички просек.</w:t>
      </w:r>
    </w:p>
    <w:p w14:paraId="4115006C" w14:textId="77777777" w:rsidR="00271976" w:rsidRDefault="00271976" w:rsidP="00271976">
      <w:pPr>
        <w:pStyle w:val="Tekst-1"/>
      </w:pPr>
      <w:r w:rsidRPr="000D4E46">
        <w:rPr>
          <w:b/>
          <w:bCs/>
        </w:rPr>
        <w:t>Генерални налаз 2:</w:t>
      </w:r>
      <w:r>
        <w:t xml:space="preserve"> у односу на републички просек, </w:t>
      </w:r>
      <w:r w:rsidRPr="000D4E46">
        <w:t>мањи</w:t>
      </w:r>
      <w:r>
        <w:t xml:space="preserve"> је проценат оних са средњим, вишим и високим образовањем у Блацу и Прокупљу. </w:t>
      </w:r>
    </w:p>
    <w:p w14:paraId="5DBE0061" w14:textId="77777777" w:rsidR="00271976" w:rsidRDefault="00271976" w:rsidP="00271976">
      <w:pPr>
        <w:pStyle w:val="Tekst-1"/>
      </w:pPr>
      <w:r>
        <w:t>Проценат средњег образовања у Прокупљу (</w:t>
      </w:r>
      <w:r w:rsidRPr="00683406">
        <w:rPr>
          <w:color w:val="0070C0"/>
        </w:rPr>
        <w:t>47</w:t>
      </w:r>
      <w:r>
        <w:rPr>
          <w:color w:val="0070C0"/>
        </w:rPr>
        <w:t>,</w:t>
      </w:r>
      <w:r w:rsidRPr="00683406">
        <w:rPr>
          <w:color w:val="0070C0"/>
        </w:rPr>
        <w:t>12%</w:t>
      </w:r>
      <w:r>
        <w:t>) прати стопу републичког просека (48,93%), док Блаце има значајно нижи проценат особа са средњим образовањем (</w:t>
      </w:r>
      <w:r w:rsidRPr="00683406">
        <w:rPr>
          <w:color w:val="FF0000"/>
        </w:rPr>
        <w:t>44</w:t>
      </w:r>
      <w:r>
        <w:rPr>
          <w:color w:val="FF0000"/>
        </w:rPr>
        <w:t>,</w:t>
      </w:r>
      <w:r w:rsidRPr="00683406">
        <w:rPr>
          <w:color w:val="FF0000"/>
        </w:rPr>
        <w:t>99%</w:t>
      </w:r>
      <w:r>
        <w:t>). Док Прокупље броји незнатно виши проценат оних са високим образовањем (</w:t>
      </w:r>
      <w:r w:rsidRPr="00683406">
        <w:rPr>
          <w:color w:val="0070C0"/>
        </w:rPr>
        <w:t>6</w:t>
      </w:r>
      <w:r>
        <w:rPr>
          <w:color w:val="0070C0"/>
        </w:rPr>
        <w:t>,</w:t>
      </w:r>
      <w:r w:rsidRPr="00683406">
        <w:rPr>
          <w:color w:val="0070C0"/>
        </w:rPr>
        <w:t>10%</w:t>
      </w:r>
      <w:r w:rsidRPr="00152373">
        <w:rPr>
          <w:color w:val="000000" w:themeColor="text1"/>
        </w:rPr>
        <w:t>)</w:t>
      </w:r>
      <w:r>
        <w:rPr>
          <w:color w:val="0070C0"/>
        </w:rPr>
        <w:t xml:space="preserve"> </w:t>
      </w:r>
      <w:r w:rsidRPr="00152373">
        <w:rPr>
          <w:color w:val="000000" w:themeColor="text1"/>
        </w:rPr>
        <w:t xml:space="preserve">у односу на републички просек </w:t>
      </w:r>
      <w:r>
        <w:rPr>
          <w:color w:val="000000" w:themeColor="text1"/>
        </w:rPr>
        <w:t>(</w:t>
      </w:r>
      <w:r w:rsidRPr="00683406">
        <w:t>5</w:t>
      </w:r>
      <w:r>
        <w:t>,</w:t>
      </w:r>
      <w:r w:rsidRPr="00683406">
        <w:t>65%</w:t>
      </w:r>
      <w:r>
        <w:t>), Блаце има 5,01%.</w:t>
      </w:r>
    </w:p>
    <w:p w14:paraId="6435B9FD" w14:textId="39635321" w:rsidR="001E7B1C" w:rsidRPr="00432A50" w:rsidRDefault="00271976" w:rsidP="00432A50">
      <w:pPr>
        <w:pStyle w:val="Tekst-1"/>
      </w:pPr>
      <w:r>
        <w:rPr>
          <w:b/>
          <w:bCs/>
        </w:rPr>
        <w:t>Закључак</w:t>
      </w:r>
      <w:r w:rsidRPr="000D4E46">
        <w:rPr>
          <w:b/>
          <w:bCs/>
        </w:rPr>
        <w:t>:</w:t>
      </w:r>
      <w:r w:rsidRPr="00A53EF8">
        <w:t xml:space="preserve"> може се рећи да имамо </w:t>
      </w:r>
      <w:r>
        <w:t>већи проценат</w:t>
      </w:r>
      <w:r w:rsidRPr="00A53EF8">
        <w:t xml:space="preserve"> необразованог и слабије образовааног становништва у Блацу и Прок</w:t>
      </w:r>
      <w:r>
        <w:t>у</w:t>
      </w:r>
      <w:r w:rsidRPr="00A53EF8">
        <w:t>пљу</w:t>
      </w:r>
      <w:r>
        <w:t xml:space="preserve">, а сходно томе и мањи проценат са вишим образовањем </w:t>
      </w:r>
      <w:r w:rsidRPr="00A53EF8">
        <w:t xml:space="preserve">у односу републички просек </w:t>
      </w:r>
      <w:r>
        <w:t>када је реч о стр</w:t>
      </w:r>
      <w:r w:rsidRPr="00A53EF8">
        <w:t>уктур</w:t>
      </w:r>
      <w:r>
        <w:t>и</w:t>
      </w:r>
      <w:r w:rsidRPr="00A53EF8">
        <w:t xml:space="preserve"> образовања.</w:t>
      </w:r>
    </w:p>
    <w:p w14:paraId="0A5120C3" w14:textId="045FD3CE" w:rsidR="00432A50" w:rsidRDefault="00432A50" w:rsidP="00432A50">
      <w:pPr>
        <w:pStyle w:val="a0"/>
      </w:pPr>
      <w:r>
        <w:t>Табела</w:t>
      </w:r>
      <w:r w:rsidR="00012EBF">
        <w:t xml:space="preserve"> 11.</w:t>
      </w:r>
      <w:r>
        <w:t xml:space="preserve"> Структура образовања према полу</w:t>
      </w:r>
    </w:p>
    <w:tbl>
      <w:tblPr>
        <w:tblStyle w:val="TableGrid"/>
        <w:tblW w:w="0" w:type="auto"/>
        <w:tblInd w:w="-147" w:type="dxa"/>
        <w:tblLook w:val="04A0" w:firstRow="1" w:lastRow="0" w:firstColumn="1" w:lastColumn="0" w:noHBand="0" w:noVBand="1"/>
      </w:tblPr>
      <w:tblGrid>
        <w:gridCol w:w="2265"/>
        <w:gridCol w:w="1186"/>
        <w:gridCol w:w="1109"/>
        <w:gridCol w:w="1186"/>
        <w:gridCol w:w="1149"/>
        <w:gridCol w:w="1186"/>
        <w:gridCol w:w="1082"/>
      </w:tblGrid>
      <w:tr w:rsidR="00432A50" w:rsidRPr="00432A50" w14:paraId="7D67B8D8" w14:textId="77777777" w:rsidTr="00432A50">
        <w:tc>
          <w:tcPr>
            <w:tcW w:w="2265" w:type="dxa"/>
            <w:tcBorders>
              <w:top w:val="single" w:sz="4" w:space="0" w:color="auto"/>
              <w:left w:val="single" w:sz="4" w:space="0" w:color="auto"/>
              <w:bottom w:val="single" w:sz="4" w:space="0" w:color="auto"/>
              <w:right w:val="single" w:sz="4" w:space="0" w:color="auto"/>
              <w:tl2br w:val="single" w:sz="4" w:space="0" w:color="auto"/>
            </w:tcBorders>
            <w:shd w:val="clear" w:color="auto" w:fill="E2EFD9" w:themeFill="accent6" w:themeFillTint="33"/>
            <w:hideMark/>
          </w:tcPr>
          <w:p w14:paraId="6E3851EC" w14:textId="77777777" w:rsidR="00240E98" w:rsidRDefault="00240E98">
            <w:pPr>
              <w:rPr>
                <w:rFonts w:ascii="Times New Roman" w:hAnsi="Times New Roman" w:cs="Times New Roman"/>
                <w:sz w:val="18"/>
                <w:szCs w:val="18"/>
                <w:lang w:val="sr-Cyrl-RS"/>
              </w:rPr>
            </w:pPr>
          </w:p>
          <w:p w14:paraId="7B32AEB2" w14:textId="77777777" w:rsidR="00240E98" w:rsidRDefault="00432A50">
            <w:pPr>
              <w:rPr>
                <w:rFonts w:ascii="Times New Roman" w:hAnsi="Times New Roman" w:cs="Times New Roman"/>
                <w:sz w:val="18"/>
                <w:szCs w:val="18"/>
                <w:lang w:val="sr-Cyrl-RS"/>
              </w:rPr>
            </w:pPr>
            <w:r w:rsidRPr="00432A50">
              <w:rPr>
                <w:rFonts w:ascii="Times New Roman" w:hAnsi="Times New Roman" w:cs="Times New Roman"/>
                <w:sz w:val="18"/>
                <w:szCs w:val="18"/>
                <w:lang w:val="sr-Cyrl-RS"/>
              </w:rPr>
              <w:t xml:space="preserve">Образовна </w:t>
            </w:r>
          </w:p>
          <w:p w14:paraId="1ED9D124" w14:textId="64F7382B" w:rsidR="00432A50" w:rsidRPr="00240E98" w:rsidRDefault="00432A50">
            <w:pPr>
              <w:rPr>
                <w:rFonts w:ascii="Times New Roman" w:hAnsi="Times New Roman" w:cs="Times New Roman"/>
                <w:sz w:val="18"/>
                <w:szCs w:val="18"/>
                <w:lang w:val="sr-Cyrl-RS"/>
              </w:rPr>
            </w:pPr>
            <w:r w:rsidRPr="00432A50">
              <w:rPr>
                <w:rFonts w:ascii="Times New Roman" w:hAnsi="Times New Roman" w:cs="Times New Roman"/>
                <w:sz w:val="18"/>
                <w:szCs w:val="18"/>
                <w:lang w:val="sr-Cyrl-RS"/>
              </w:rPr>
              <w:t>структура</w:t>
            </w:r>
          </w:p>
        </w:tc>
        <w:tc>
          <w:tcPr>
            <w:tcW w:w="229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3917D7" w14:textId="77777777" w:rsidR="00432A50" w:rsidRPr="00432A50" w:rsidRDefault="00432A50" w:rsidP="00432A50">
            <w:pPr>
              <w:jc w:val="center"/>
              <w:rPr>
                <w:rFonts w:ascii="Times New Roman" w:hAnsi="Times New Roman" w:cs="Times New Roman"/>
                <w:b/>
                <w:bCs/>
                <w:lang w:val="sr-Cyrl-RS"/>
              </w:rPr>
            </w:pPr>
            <w:r w:rsidRPr="00432A50">
              <w:rPr>
                <w:rFonts w:ascii="Times New Roman" w:hAnsi="Times New Roman" w:cs="Times New Roman"/>
                <w:b/>
                <w:bCs/>
                <w:lang w:val="sr-Cyrl-RS"/>
              </w:rPr>
              <w:t>Блаце</w:t>
            </w:r>
          </w:p>
        </w:tc>
        <w:tc>
          <w:tcPr>
            <w:tcW w:w="233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544AB4" w14:textId="77777777" w:rsidR="00432A50" w:rsidRPr="00432A50" w:rsidRDefault="00432A50" w:rsidP="00432A50">
            <w:pPr>
              <w:jc w:val="center"/>
              <w:rPr>
                <w:rFonts w:ascii="Times New Roman" w:hAnsi="Times New Roman" w:cs="Times New Roman"/>
                <w:b/>
                <w:bCs/>
                <w:lang w:val="sr-Cyrl-RS"/>
              </w:rPr>
            </w:pPr>
            <w:r w:rsidRPr="00432A50">
              <w:rPr>
                <w:rFonts w:ascii="Times New Roman" w:hAnsi="Times New Roman" w:cs="Times New Roman"/>
                <w:b/>
                <w:bCs/>
                <w:lang w:val="sr-Cyrl-RS"/>
              </w:rPr>
              <w:t>Прокупље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C2ACB0" w14:textId="77777777" w:rsidR="00432A50" w:rsidRPr="00432A50" w:rsidRDefault="00432A50" w:rsidP="00432A50">
            <w:pPr>
              <w:jc w:val="center"/>
              <w:rPr>
                <w:rFonts w:ascii="Times New Roman" w:hAnsi="Times New Roman" w:cs="Times New Roman"/>
                <w:b/>
                <w:bCs/>
                <w:lang w:val="sr-Cyrl-RS"/>
              </w:rPr>
            </w:pPr>
            <w:r w:rsidRPr="00432A50">
              <w:rPr>
                <w:rFonts w:ascii="Times New Roman" w:hAnsi="Times New Roman" w:cs="Times New Roman"/>
                <w:b/>
                <w:bCs/>
                <w:lang w:val="sr-Cyrl-RS"/>
              </w:rPr>
              <w:t>Република Србија (просек)</w:t>
            </w:r>
          </w:p>
        </w:tc>
      </w:tr>
      <w:tr w:rsidR="00432A50" w:rsidRPr="00432A50" w14:paraId="6C5B4688"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2B3FAA" w14:textId="77777777" w:rsidR="00432A50" w:rsidRPr="00432A50" w:rsidRDefault="00432A50">
            <w:pPr>
              <w:rPr>
                <w:rFonts w:ascii="Times New Roman" w:hAnsi="Times New Roman" w:cs="Times New Roman"/>
                <w:lang w:val="sr-Cyrl-RS"/>
              </w:rPr>
            </w:pPr>
          </w:p>
        </w:tc>
        <w:tc>
          <w:tcPr>
            <w:tcW w:w="1186" w:type="dxa"/>
            <w:tcBorders>
              <w:top w:val="single" w:sz="4" w:space="0" w:color="auto"/>
              <w:left w:val="single" w:sz="4" w:space="0" w:color="auto"/>
              <w:bottom w:val="single" w:sz="4" w:space="0" w:color="auto"/>
              <w:right w:val="single" w:sz="4" w:space="0" w:color="auto"/>
            </w:tcBorders>
            <w:hideMark/>
          </w:tcPr>
          <w:p w14:paraId="093626B7"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мушкарци</w:t>
            </w:r>
          </w:p>
        </w:tc>
        <w:tc>
          <w:tcPr>
            <w:tcW w:w="1109" w:type="dxa"/>
            <w:tcBorders>
              <w:top w:val="single" w:sz="4" w:space="0" w:color="auto"/>
              <w:left w:val="single" w:sz="4" w:space="0" w:color="auto"/>
              <w:bottom w:val="single" w:sz="4" w:space="0" w:color="auto"/>
              <w:right w:val="single" w:sz="4" w:space="0" w:color="auto"/>
            </w:tcBorders>
            <w:hideMark/>
          </w:tcPr>
          <w:p w14:paraId="7D77F8AB"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жене</w:t>
            </w:r>
          </w:p>
        </w:tc>
        <w:tc>
          <w:tcPr>
            <w:tcW w:w="1186" w:type="dxa"/>
            <w:tcBorders>
              <w:top w:val="single" w:sz="4" w:space="0" w:color="auto"/>
              <w:left w:val="single" w:sz="4" w:space="0" w:color="auto"/>
              <w:bottom w:val="single" w:sz="4" w:space="0" w:color="auto"/>
              <w:right w:val="single" w:sz="4" w:space="0" w:color="auto"/>
            </w:tcBorders>
            <w:hideMark/>
          </w:tcPr>
          <w:p w14:paraId="7E8BAF2E"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мушкарци</w:t>
            </w:r>
          </w:p>
        </w:tc>
        <w:tc>
          <w:tcPr>
            <w:tcW w:w="1149" w:type="dxa"/>
            <w:tcBorders>
              <w:top w:val="single" w:sz="4" w:space="0" w:color="auto"/>
              <w:left w:val="single" w:sz="4" w:space="0" w:color="auto"/>
              <w:bottom w:val="single" w:sz="4" w:space="0" w:color="auto"/>
              <w:right w:val="single" w:sz="4" w:space="0" w:color="auto"/>
            </w:tcBorders>
            <w:hideMark/>
          </w:tcPr>
          <w:p w14:paraId="4FCC69AD"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жене</w:t>
            </w:r>
          </w:p>
        </w:tc>
        <w:tc>
          <w:tcPr>
            <w:tcW w:w="1186" w:type="dxa"/>
            <w:tcBorders>
              <w:top w:val="single" w:sz="4" w:space="0" w:color="auto"/>
              <w:left w:val="single" w:sz="4" w:space="0" w:color="auto"/>
              <w:bottom w:val="single" w:sz="4" w:space="0" w:color="auto"/>
              <w:right w:val="single" w:sz="4" w:space="0" w:color="auto"/>
            </w:tcBorders>
            <w:hideMark/>
          </w:tcPr>
          <w:p w14:paraId="6FFEF653"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мушкарци</w:t>
            </w:r>
          </w:p>
        </w:tc>
        <w:tc>
          <w:tcPr>
            <w:tcW w:w="1082" w:type="dxa"/>
            <w:tcBorders>
              <w:top w:val="single" w:sz="4" w:space="0" w:color="auto"/>
              <w:left w:val="single" w:sz="4" w:space="0" w:color="auto"/>
              <w:bottom w:val="single" w:sz="4" w:space="0" w:color="auto"/>
              <w:right w:val="single" w:sz="4" w:space="0" w:color="auto"/>
            </w:tcBorders>
            <w:hideMark/>
          </w:tcPr>
          <w:p w14:paraId="233CBE3F"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Жене</w:t>
            </w:r>
          </w:p>
        </w:tc>
      </w:tr>
      <w:tr w:rsidR="00432A50" w:rsidRPr="00432A50" w14:paraId="3B0EE535"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ADD2D6"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Без школске спреме</w:t>
            </w:r>
          </w:p>
        </w:tc>
        <w:tc>
          <w:tcPr>
            <w:tcW w:w="1186" w:type="dxa"/>
            <w:tcBorders>
              <w:top w:val="single" w:sz="4" w:space="0" w:color="auto"/>
              <w:left w:val="single" w:sz="4" w:space="0" w:color="auto"/>
              <w:bottom w:val="single" w:sz="4" w:space="0" w:color="auto"/>
              <w:right w:val="single" w:sz="4" w:space="0" w:color="auto"/>
            </w:tcBorders>
            <w:hideMark/>
          </w:tcPr>
          <w:p w14:paraId="1B7DFFEF" w14:textId="77777777" w:rsidR="00432A50" w:rsidRPr="00432A50" w:rsidRDefault="00432A50">
            <w:pPr>
              <w:rPr>
                <w:rFonts w:ascii="Times New Roman" w:hAnsi="Times New Roman" w:cs="Times New Roman"/>
              </w:rPr>
            </w:pPr>
            <w:r w:rsidRPr="00432A50">
              <w:rPr>
                <w:rFonts w:ascii="Times New Roman" w:hAnsi="Times New Roman" w:cs="Times New Roman"/>
                <w:b/>
                <w:bCs/>
              </w:rPr>
              <w:t>278</w:t>
            </w:r>
            <w:r w:rsidRPr="00432A50">
              <w:rPr>
                <w:rFonts w:ascii="Times New Roman" w:hAnsi="Times New Roman" w:cs="Times New Roman"/>
              </w:rPr>
              <w:t xml:space="preserve"> </w:t>
            </w:r>
            <w:r w:rsidRPr="00432A50">
              <w:rPr>
                <w:rFonts w:ascii="Times New Roman" w:hAnsi="Times New Roman" w:cs="Times New Roman"/>
                <w:b/>
                <w:bCs/>
                <w:color w:val="002060"/>
              </w:rPr>
              <w:t>(1.50%)</w:t>
            </w:r>
          </w:p>
        </w:tc>
        <w:tc>
          <w:tcPr>
            <w:tcW w:w="1109" w:type="dxa"/>
            <w:tcBorders>
              <w:top w:val="single" w:sz="4" w:space="0" w:color="auto"/>
              <w:left w:val="single" w:sz="4" w:space="0" w:color="auto"/>
              <w:bottom w:val="single" w:sz="4" w:space="0" w:color="auto"/>
              <w:right w:val="single" w:sz="4" w:space="0" w:color="auto"/>
            </w:tcBorders>
            <w:hideMark/>
          </w:tcPr>
          <w:p w14:paraId="4BD04366" w14:textId="77777777" w:rsidR="00432A50" w:rsidRPr="00432A50" w:rsidRDefault="00432A50">
            <w:pPr>
              <w:rPr>
                <w:rFonts w:ascii="Times New Roman" w:hAnsi="Times New Roman" w:cs="Times New Roman"/>
              </w:rPr>
            </w:pPr>
            <w:r w:rsidRPr="00432A50">
              <w:rPr>
                <w:rFonts w:ascii="Times New Roman" w:hAnsi="Times New Roman" w:cs="Times New Roman"/>
                <w:b/>
                <w:bCs/>
              </w:rPr>
              <w:t>1451</w:t>
            </w:r>
            <w:r w:rsidRPr="00432A50">
              <w:rPr>
                <w:rFonts w:ascii="Times New Roman" w:hAnsi="Times New Roman" w:cs="Times New Roman"/>
              </w:rPr>
              <w:t xml:space="preserve"> </w:t>
            </w:r>
            <w:r w:rsidRPr="00432A50">
              <w:rPr>
                <w:rFonts w:ascii="Times New Roman" w:hAnsi="Times New Roman" w:cs="Times New Roman"/>
                <w:b/>
                <w:bCs/>
                <w:color w:val="C00000"/>
              </w:rPr>
              <w:t>(7.57%)</w:t>
            </w:r>
          </w:p>
        </w:tc>
        <w:tc>
          <w:tcPr>
            <w:tcW w:w="1186" w:type="dxa"/>
            <w:tcBorders>
              <w:top w:val="single" w:sz="4" w:space="0" w:color="auto"/>
              <w:left w:val="single" w:sz="4" w:space="0" w:color="auto"/>
              <w:bottom w:val="single" w:sz="4" w:space="0" w:color="auto"/>
              <w:right w:val="single" w:sz="4" w:space="0" w:color="auto"/>
            </w:tcBorders>
            <w:hideMark/>
          </w:tcPr>
          <w:p w14:paraId="0FB67627"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119 </w:t>
            </w:r>
            <w:r w:rsidRPr="00432A50">
              <w:rPr>
                <w:rFonts w:ascii="Times New Roman" w:hAnsi="Times New Roman" w:cs="Times New Roman"/>
                <w:b/>
                <w:bCs/>
                <w:color w:val="002060"/>
              </w:rPr>
              <w:t>(</w:t>
            </w:r>
            <w:r w:rsidRPr="00432A50">
              <w:rPr>
                <w:rFonts w:ascii="Times New Roman" w:hAnsi="Times New Roman" w:cs="Times New Roman"/>
                <w:b/>
                <w:bCs/>
                <w:color w:val="002060"/>
                <w:lang w:val="sr-Cyrl-RS"/>
              </w:rPr>
              <w:t>2.32%</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65DF5E54"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713 </w:t>
            </w:r>
            <w:r w:rsidRPr="00432A50">
              <w:rPr>
                <w:rFonts w:ascii="Times New Roman" w:hAnsi="Times New Roman" w:cs="Times New Roman"/>
                <w:b/>
                <w:bCs/>
                <w:color w:val="C00000"/>
              </w:rPr>
              <w:t>(13.75</w:t>
            </w:r>
            <w:r w:rsidRPr="00432A50">
              <w:rPr>
                <w:rFonts w:ascii="Times New Roman" w:hAnsi="Times New Roman" w:cs="Times New Roman"/>
                <w:b/>
                <w:bCs/>
                <w:color w:val="C00000"/>
                <w:lang w:val="sr-Cyrl-RS"/>
              </w:rPr>
              <w:t>%</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4532A424"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30628 </w:t>
            </w:r>
            <w:r w:rsidRPr="00432A50">
              <w:rPr>
                <w:rFonts w:ascii="Times New Roman" w:hAnsi="Times New Roman" w:cs="Times New Roman"/>
                <w:b/>
                <w:bCs/>
                <w:color w:val="00B050"/>
              </w:rPr>
              <w:t>(1.03</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42CFDAEF"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134256 </w:t>
            </w:r>
            <w:r w:rsidRPr="00432A50">
              <w:rPr>
                <w:rFonts w:ascii="Times New Roman" w:hAnsi="Times New Roman" w:cs="Times New Roman"/>
                <w:b/>
                <w:bCs/>
                <w:color w:val="00B050"/>
              </w:rPr>
              <w:t>(4.21</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430B5071"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7BE8B0"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Непотпуно основно образовање</w:t>
            </w:r>
          </w:p>
        </w:tc>
        <w:tc>
          <w:tcPr>
            <w:tcW w:w="1186" w:type="dxa"/>
            <w:tcBorders>
              <w:top w:val="single" w:sz="4" w:space="0" w:color="auto"/>
              <w:left w:val="single" w:sz="4" w:space="0" w:color="auto"/>
              <w:bottom w:val="single" w:sz="4" w:space="0" w:color="auto"/>
              <w:right w:val="single" w:sz="4" w:space="0" w:color="auto"/>
            </w:tcBorders>
            <w:hideMark/>
          </w:tcPr>
          <w:p w14:paraId="3D9A77E3" w14:textId="77777777" w:rsidR="00432A50" w:rsidRPr="00432A50" w:rsidRDefault="00432A50">
            <w:pPr>
              <w:rPr>
                <w:rFonts w:ascii="Times New Roman" w:hAnsi="Times New Roman" w:cs="Times New Roman"/>
              </w:rPr>
            </w:pPr>
            <w:r w:rsidRPr="00432A50">
              <w:rPr>
                <w:rFonts w:ascii="Times New Roman" w:hAnsi="Times New Roman" w:cs="Times New Roman"/>
                <w:b/>
                <w:bCs/>
              </w:rPr>
              <w:t>1582</w:t>
            </w:r>
            <w:r w:rsidRPr="00432A50">
              <w:rPr>
                <w:rFonts w:ascii="Times New Roman" w:hAnsi="Times New Roman" w:cs="Times New Roman"/>
              </w:rPr>
              <w:t xml:space="preserve"> </w:t>
            </w:r>
            <w:r w:rsidRPr="00432A50">
              <w:rPr>
                <w:rFonts w:ascii="Times New Roman" w:hAnsi="Times New Roman" w:cs="Times New Roman"/>
                <w:b/>
                <w:bCs/>
                <w:color w:val="002060"/>
              </w:rPr>
              <w:t>(8.52%)</w:t>
            </w:r>
          </w:p>
        </w:tc>
        <w:tc>
          <w:tcPr>
            <w:tcW w:w="1109" w:type="dxa"/>
            <w:tcBorders>
              <w:top w:val="single" w:sz="4" w:space="0" w:color="auto"/>
              <w:left w:val="single" w:sz="4" w:space="0" w:color="auto"/>
              <w:bottom w:val="single" w:sz="4" w:space="0" w:color="auto"/>
              <w:right w:val="single" w:sz="4" w:space="0" w:color="auto"/>
            </w:tcBorders>
            <w:hideMark/>
          </w:tcPr>
          <w:p w14:paraId="69F61209" w14:textId="77777777" w:rsidR="00432A50" w:rsidRPr="00432A50" w:rsidRDefault="00432A50">
            <w:pPr>
              <w:rPr>
                <w:rFonts w:ascii="Times New Roman" w:hAnsi="Times New Roman" w:cs="Times New Roman"/>
              </w:rPr>
            </w:pPr>
            <w:r w:rsidRPr="00432A50">
              <w:rPr>
                <w:rFonts w:ascii="Times New Roman" w:hAnsi="Times New Roman" w:cs="Times New Roman"/>
                <w:b/>
                <w:bCs/>
              </w:rPr>
              <w:t>2855</w:t>
            </w:r>
            <w:r w:rsidRPr="00432A50">
              <w:rPr>
                <w:rFonts w:ascii="Times New Roman" w:hAnsi="Times New Roman" w:cs="Times New Roman"/>
              </w:rPr>
              <w:t xml:space="preserve"> </w:t>
            </w:r>
            <w:r w:rsidRPr="00432A50">
              <w:rPr>
                <w:rFonts w:ascii="Times New Roman" w:hAnsi="Times New Roman" w:cs="Times New Roman"/>
                <w:b/>
                <w:bCs/>
                <w:color w:val="C00000"/>
              </w:rPr>
              <w:t>(14.89%)</w:t>
            </w:r>
          </w:p>
        </w:tc>
        <w:tc>
          <w:tcPr>
            <w:tcW w:w="1186" w:type="dxa"/>
            <w:tcBorders>
              <w:top w:val="single" w:sz="4" w:space="0" w:color="auto"/>
              <w:left w:val="single" w:sz="4" w:space="0" w:color="auto"/>
              <w:bottom w:val="single" w:sz="4" w:space="0" w:color="auto"/>
              <w:right w:val="single" w:sz="4" w:space="0" w:color="auto"/>
            </w:tcBorders>
            <w:hideMark/>
          </w:tcPr>
          <w:p w14:paraId="201EC38E"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723 </w:t>
            </w:r>
            <w:r w:rsidRPr="00432A50">
              <w:rPr>
                <w:rFonts w:ascii="Times New Roman" w:hAnsi="Times New Roman" w:cs="Times New Roman"/>
                <w:b/>
                <w:bCs/>
                <w:color w:val="002060"/>
              </w:rPr>
              <w:t>(</w:t>
            </w:r>
            <w:r w:rsidRPr="00432A50">
              <w:rPr>
                <w:rFonts w:ascii="Times New Roman" w:hAnsi="Times New Roman" w:cs="Times New Roman"/>
                <w:b/>
                <w:bCs/>
                <w:color w:val="002060"/>
                <w:lang w:val="sr-Cyrl-RS"/>
              </w:rPr>
              <w:t>14.09%</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5740E1B8"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847 </w:t>
            </w:r>
            <w:r w:rsidRPr="00432A50">
              <w:rPr>
                <w:rFonts w:ascii="Times New Roman" w:hAnsi="Times New Roman" w:cs="Times New Roman"/>
                <w:b/>
                <w:bCs/>
                <w:color w:val="C00000"/>
              </w:rPr>
              <w:t>(16.34</w:t>
            </w:r>
            <w:r w:rsidRPr="00432A50">
              <w:rPr>
                <w:rFonts w:ascii="Times New Roman" w:hAnsi="Times New Roman" w:cs="Times New Roman"/>
                <w:b/>
                <w:bCs/>
                <w:color w:val="C00000"/>
                <w:lang w:val="sr-Cyrl-RS"/>
              </w:rPr>
              <w:t>%</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6F204674"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241226 </w:t>
            </w:r>
            <w:r w:rsidRPr="00432A50">
              <w:rPr>
                <w:rFonts w:ascii="Times New Roman" w:hAnsi="Times New Roman" w:cs="Times New Roman"/>
                <w:b/>
                <w:bCs/>
                <w:color w:val="00B050"/>
              </w:rPr>
              <w:t>(8.12</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443BBE96"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436273 </w:t>
            </w:r>
            <w:r w:rsidRPr="00432A50">
              <w:rPr>
                <w:rFonts w:ascii="Times New Roman" w:hAnsi="Times New Roman" w:cs="Times New Roman"/>
                <w:b/>
                <w:bCs/>
                <w:color w:val="00B050"/>
              </w:rPr>
              <w:t>(13.68</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2B9C8239"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9D1A0"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 xml:space="preserve">Основно </w:t>
            </w:r>
          </w:p>
        </w:tc>
        <w:tc>
          <w:tcPr>
            <w:tcW w:w="1186" w:type="dxa"/>
            <w:tcBorders>
              <w:top w:val="single" w:sz="4" w:space="0" w:color="auto"/>
              <w:left w:val="single" w:sz="4" w:space="0" w:color="auto"/>
              <w:bottom w:val="single" w:sz="4" w:space="0" w:color="auto"/>
              <w:right w:val="single" w:sz="4" w:space="0" w:color="auto"/>
            </w:tcBorders>
            <w:hideMark/>
          </w:tcPr>
          <w:p w14:paraId="0D8BA10C" w14:textId="77777777" w:rsidR="00432A50" w:rsidRPr="00432A50" w:rsidRDefault="00432A50">
            <w:pPr>
              <w:rPr>
                <w:rFonts w:ascii="Times New Roman" w:hAnsi="Times New Roman" w:cs="Times New Roman"/>
              </w:rPr>
            </w:pPr>
            <w:r w:rsidRPr="00432A50">
              <w:rPr>
                <w:rFonts w:ascii="Times New Roman" w:hAnsi="Times New Roman" w:cs="Times New Roman"/>
                <w:b/>
                <w:bCs/>
              </w:rPr>
              <w:t>4270</w:t>
            </w:r>
            <w:r w:rsidRPr="00432A50">
              <w:rPr>
                <w:rFonts w:ascii="Times New Roman" w:hAnsi="Times New Roman" w:cs="Times New Roman"/>
              </w:rPr>
              <w:t xml:space="preserve"> </w:t>
            </w:r>
            <w:r w:rsidRPr="00432A50">
              <w:rPr>
                <w:rFonts w:ascii="Times New Roman" w:hAnsi="Times New Roman" w:cs="Times New Roman"/>
                <w:b/>
                <w:bCs/>
                <w:color w:val="002060"/>
              </w:rPr>
              <w:t>(23.01%)</w:t>
            </w:r>
          </w:p>
        </w:tc>
        <w:tc>
          <w:tcPr>
            <w:tcW w:w="1109" w:type="dxa"/>
            <w:tcBorders>
              <w:top w:val="single" w:sz="4" w:space="0" w:color="auto"/>
              <w:left w:val="single" w:sz="4" w:space="0" w:color="auto"/>
              <w:bottom w:val="single" w:sz="4" w:space="0" w:color="auto"/>
              <w:right w:val="single" w:sz="4" w:space="0" w:color="auto"/>
            </w:tcBorders>
            <w:hideMark/>
          </w:tcPr>
          <w:p w14:paraId="40AE0C7F" w14:textId="77777777" w:rsidR="00432A50" w:rsidRPr="00432A50" w:rsidRDefault="00432A50">
            <w:pPr>
              <w:rPr>
                <w:rFonts w:ascii="Times New Roman" w:hAnsi="Times New Roman" w:cs="Times New Roman"/>
              </w:rPr>
            </w:pPr>
            <w:r w:rsidRPr="00432A50">
              <w:rPr>
                <w:rFonts w:ascii="Times New Roman" w:hAnsi="Times New Roman" w:cs="Times New Roman"/>
                <w:b/>
                <w:bCs/>
              </w:rPr>
              <w:t>4311</w:t>
            </w:r>
            <w:r w:rsidRPr="00432A50">
              <w:rPr>
                <w:rFonts w:ascii="Times New Roman" w:hAnsi="Times New Roman" w:cs="Times New Roman"/>
              </w:rPr>
              <w:t xml:space="preserve"> </w:t>
            </w:r>
            <w:r w:rsidRPr="00432A50">
              <w:rPr>
                <w:rFonts w:ascii="Times New Roman" w:hAnsi="Times New Roman" w:cs="Times New Roman"/>
                <w:b/>
                <w:bCs/>
                <w:color w:val="C00000"/>
              </w:rPr>
              <w:t>(22.49%)</w:t>
            </w:r>
          </w:p>
        </w:tc>
        <w:tc>
          <w:tcPr>
            <w:tcW w:w="1186" w:type="dxa"/>
            <w:tcBorders>
              <w:top w:val="single" w:sz="4" w:space="0" w:color="auto"/>
              <w:left w:val="single" w:sz="4" w:space="0" w:color="auto"/>
              <w:bottom w:val="single" w:sz="4" w:space="0" w:color="auto"/>
              <w:right w:val="single" w:sz="4" w:space="0" w:color="auto"/>
            </w:tcBorders>
            <w:hideMark/>
          </w:tcPr>
          <w:p w14:paraId="70223462"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1135 </w:t>
            </w:r>
            <w:r w:rsidRPr="00432A50">
              <w:rPr>
                <w:rFonts w:ascii="Times New Roman" w:hAnsi="Times New Roman" w:cs="Times New Roman"/>
                <w:b/>
                <w:bCs/>
                <w:color w:val="002060"/>
              </w:rPr>
              <w:t>(22.12</w:t>
            </w:r>
            <w:r w:rsidRPr="00432A50">
              <w:rPr>
                <w:rFonts w:ascii="Times New Roman" w:hAnsi="Times New Roman" w:cs="Times New Roman"/>
                <w:b/>
                <w:bCs/>
                <w:color w:val="002060"/>
                <w:lang w:val="sr-Cyrl-RS"/>
              </w:rPr>
              <w:t>%</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6B40820B"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1044 </w:t>
            </w:r>
            <w:r w:rsidRPr="00432A50">
              <w:rPr>
                <w:rFonts w:ascii="Times New Roman" w:hAnsi="Times New Roman" w:cs="Times New Roman"/>
                <w:b/>
                <w:bCs/>
                <w:color w:val="C00000"/>
              </w:rPr>
              <w:t>(</w:t>
            </w:r>
            <w:r w:rsidRPr="00432A50">
              <w:rPr>
                <w:rFonts w:ascii="Times New Roman" w:hAnsi="Times New Roman" w:cs="Times New Roman"/>
                <w:b/>
                <w:bCs/>
                <w:color w:val="C00000"/>
                <w:lang w:val="sr-Cyrl-RS"/>
              </w:rPr>
              <w:t>20.14%</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24C9D64F"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593463 </w:t>
            </w:r>
            <w:r w:rsidRPr="00432A50">
              <w:rPr>
                <w:rFonts w:ascii="Times New Roman" w:hAnsi="Times New Roman" w:cs="Times New Roman"/>
                <w:b/>
                <w:bCs/>
                <w:color w:val="00B050"/>
              </w:rPr>
              <w:t>(19.97</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6E2F6758"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685653 </w:t>
            </w:r>
            <w:r w:rsidRPr="00432A50">
              <w:rPr>
                <w:rFonts w:ascii="Times New Roman" w:hAnsi="Times New Roman" w:cs="Times New Roman"/>
                <w:b/>
                <w:bCs/>
                <w:color w:val="00B050"/>
              </w:rPr>
              <w:t>(21.50</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2A09EA44"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C83DF"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 xml:space="preserve">Средње </w:t>
            </w:r>
          </w:p>
        </w:tc>
        <w:tc>
          <w:tcPr>
            <w:tcW w:w="1186" w:type="dxa"/>
            <w:tcBorders>
              <w:top w:val="single" w:sz="4" w:space="0" w:color="auto"/>
              <w:left w:val="single" w:sz="4" w:space="0" w:color="auto"/>
              <w:bottom w:val="single" w:sz="4" w:space="0" w:color="auto"/>
              <w:right w:val="single" w:sz="4" w:space="0" w:color="auto"/>
            </w:tcBorders>
            <w:hideMark/>
          </w:tcPr>
          <w:p w14:paraId="629BE092" w14:textId="77777777" w:rsidR="00432A50" w:rsidRPr="00432A50" w:rsidRDefault="00432A50">
            <w:pPr>
              <w:rPr>
                <w:rFonts w:ascii="Times New Roman" w:hAnsi="Times New Roman" w:cs="Times New Roman"/>
              </w:rPr>
            </w:pPr>
            <w:r w:rsidRPr="00432A50">
              <w:rPr>
                <w:rFonts w:ascii="Times New Roman" w:hAnsi="Times New Roman" w:cs="Times New Roman"/>
                <w:b/>
                <w:bCs/>
              </w:rPr>
              <w:t>9666</w:t>
            </w:r>
            <w:r w:rsidRPr="00432A50">
              <w:rPr>
                <w:rFonts w:ascii="Times New Roman" w:hAnsi="Times New Roman" w:cs="Times New Roman"/>
              </w:rPr>
              <w:t xml:space="preserve"> </w:t>
            </w:r>
            <w:r w:rsidRPr="00432A50">
              <w:rPr>
                <w:rFonts w:ascii="Times New Roman" w:hAnsi="Times New Roman" w:cs="Times New Roman"/>
                <w:b/>
                <w:bCs/>
                <w:color w:val="002060"/>
              </w:rPr>
              <w:t>(52.08%)</w:t>
            </w:r>
          </w:p>
        </w:tc>
        <w:tc>
          <w:tcPr>
            <w:tcW w:w="1109" w:type="dxa"/>
            <w:tcBorders>
              <w:top w:val="single" w:sz="4" w:space="0" w:color="auto"/>
              <w:left w:val="single" w:sz="4" w:space="0" w:color="auto"/>
              <w:bottom w:val="single" w:sz="4" w:space="0" w:color="auto"/>
              <w:right w:val="single" w:sz="4" w:space="0" w:color="auto"/>
            </w:tcBorders>
            <w:hideMark/>
          </w:tcPr>
          <w:p w14:paraId="110323B9" w14:textId="77777777" w:rsidR="00432A50" w:rsidRPr="00432A50" w:rsidRDefault="00432A50">
            <w:pPr>
              <w:rPr>
                <w:rFonts w:ascii="Times New Roman" w:hAnsi="Times New Roman" w:cs="Times New Roman"/>
              </w:rPr>
            </w:pPr>
            <w:r w:rsidRPr="00432A50">
              <w:rPr>
                <w:rFonts w:ascii="Times New Roman" w:hAnsi="Times New Roman" w:cs="Times New Roman"/>
                <w:b/>
                <w:bCs/>
              </w:rPr>
              <w:t>8111</w:t>
            </w:r>
            <w:r w:rsidRPr="00432A50">
              <w:rPr>
                <w:rFonts w:ascii="Times New Roman" w:hAnsi="Times New Roman" w:cs="Times New Roman"/>
              </w:rPr>
              <w:t xml:space="preserve"> </w:t>
            </w:r>
            <w:r w:rsidRPr="00432A50">
              <w:rPr>
                <w:rFonts w:ascii="Times New Roman" w:hAnsi="Times New Roman" w:cs="Times New Roman"/>
                <w:b/>
                <w:bCs/>
                <w:color w:val="C00000"/>
              </w:rPr>
              <w:t>(42.31%)</w:t>
            </w:r>
          </w:p>
        </w:tc>
        <w:tc>
          <w:tcPr>
            <w:tcW w:w="1186" w:type="dxa"/>
            <w:tcBorders>
              <w:top w:val="single" w:sz="4" w:space="0" w:color="auto"/>
              <w:left w:val="single" w:sz="4" w:space="0" w:color="auto"/>
              <w:bottom w:val="single" w:sz="4" w:space="0" w:color="auto"/>
              <w:right w:val="single" w:sz="4" w:space="0" w:color="auto"/>
            </w:tcBorders>
            <w:hideMark/>
          </w:tcPr>
          <w:p w14:paraId="407E2C26"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2576 </w:t>
            </w:r>
            <w:r w:rsidRPr="00432A50">
              <w:rPr>
                <w:rFonts w:ascii="Times New Roman" w:hAnsi="Times New Roman" w:cs="Times New Roman"/>
                <w:b/>
                <w:bCs/>
                <w:color w:val="002060"/>
              </w:rPr>
              <w:t>(50.19</w:t>
            </w:r>
            <w:r w:rsidRPr="00432A50">
              <w:rPr>
                <w:rFonts w:ascii="Times New Roman" w:hAnsi="Times New Roman" w:cs="Times New Roman"/>
                <w:b/>
                <w:bCs/>
                <w:color w:val="002060"/>
                <w:lang w:val="sr-Cyrl-RS"/>
              </w:rPr>
              <w:t>%</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437093A2"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2066 </w:t>
            </w:r>
            <w:r w:rsidRPr="00432A50">
              <w:rPr>
                <w:rFonts w:ascii="Times New Roman" w:hAnsi="Times New Roman" w:cs="Times New Roman"/>
                <w:b/>
                <w:bCs/>
                <w:color w:val="C00000"/>
              </w:rPr>
              <w:t>(</w:t>
            </w:r>
            <w:r w:rsidRPr="00432A50">
              <w:rPr>
                <w:rFonts w:ascii="Times New Roman" w:hAnsi="Times New Roman" w:cs="Times New Roman"/>
                <w:b/>
                <w:bCs/>
                <w:color w:val="C00000"/>
                <w:lang w:val="sr-Cyrl-RS"/>
              </w:rPr>
              <w:t>39.85%</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50DC81EC"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1613356 </w:t>
            </w:r>
            <w:r w:rsidRPr="00432A50">
              <w:rPr>
                <w:rFonts w:ascii="Times New Roman" w:hAnsi="Times New Roman" w:cs="Times New Roman"/>
                <w:b/>
                <w:bCs/>
                <w:color w:val="00B050"/>
              </w:rPr>
              <w:t>(54.29</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36710CEE"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1401736 </w:t>
            </w:r>
            <w:r w:rsidRPr="00432A50">
              <w:rPr>
                <w:rFonts w:ascii="Times New Roman" w:hAnsi="Times New Roman" w:cs="Times New Roman"/>
                <w:b/>
                <w:bCs/>
                <w:color w:val="00B050"/>
              </w:rPr>
              <w:t>(43.95</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298A2FF7"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6D0A71"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Више образовање</w:t>
            </w:r>
          </w:p>
        </w:tc>
        <w:tc>
          <w:tcPr>
            <w:tcW w:w="1186" w:type="dxa"/>
            <w:tcBorders>
              <w:top w:val="single" w:sz="4" w:space="0" w:color="auto"/>
              <w:left w:val="single" w:sz="4" w:space="0" w:color="auto"/>
              <w:bottom w:val="single" w:sz="4" w:space="0" w:color="auto"/>
              <w:right w:val="single" w:sz="4" w:space="0" w:color="auto"/>
            </w:tcBorders>
            <w:hideMark/>
          </w:tcPr>
          <w:p w14:paraId="473685CA" w14:textId="77777777" w:rsidR="00432A50" w:rsidRPr="00432A50" w:rsidRDefault="00432A50">
            <w:pPr>
              <w:rPr>
                <w:rFonts w:ascii="Times New Roman" w:hAnsi="Times New Roman" w:cs="Times New Roman"/>
              </w:rPr>
            </w:pPr>
            <w:r w:rsidRPr="00432A50">
              <w:rPr>
                <w:rFonts w:ascii="Times New Roman" w:hAnsi="Times New Roman" w:cs="Times New Roman"/>
                <w:b/>
                <w:bCs/>
              </w:rPr>
              <w:t>1234</w:t>
            </w:r>
            <w:r w:rsidRPr="00432A50">
              <w:rPr>
                <w:rFonts w:ascii="Times New Roman" w:hAnsi="Times New Roman" w:cs="Times New Roman"/>
              </w:rPr>
              <w:t xml:space="preserve"> </w:t>
            </w:r>
            <w:r w:rsidRPr="00432A50">
              <w:rPr>
                <w:rFonts w:ascii="Times New Roman" w:hAnsi="Times New Roman" w:cs="Times New Roman"/>
                <w:b/>
                <w:bCs/>
                <w:color w:val="002060"/>
              </w:rPr>
              <w:t>(6.65%)</w:t>
            </w:r>
          </w:p>
        </w:tc>
        <w:tc>
          <w:tcPr>
            <w:tcW w:w="1109" w:type="dxa"/>
            <w:tcBorders>
              <w:top w:val="single" w:sz="4" w:space="0" w:color="auto"/>
              <w:left w:val="single" w:sz="4" w:space="0" w:color="auto"/>
              <w:bottom w:val="single" w:sz="4" w:space="0" w:color="auto"/>
              <w:right w:val="single" w:sz="4" w:space="0" w:color="auto"/>
            </w:tcBorders>
            <w:hideMark/>
          </w:tcPr>
          <w:p w14:paraId="11B77013" w14:textId="77777777" w:rsidR="00432A50" w:rsidRPr="00432A50" w:rsidRDefault="00432A50">
            <w:pPr>
              <w:rPr>
                <w:rFonts w:ascii="Times New Roman" w:hAnsi="Times New Roman" w:cs="Times New Roman"/>
              </w:rPr>
            </w:pPr>
            <w:r w:rsidRPr="00432A50">
              <w:rPr>
                <w:rFonts w:ascii="Times New Roman" w:hAnsi="Times New Roman" w:cs="Times New Roman"/>
                <w:b/>
                <w:bCs/>
              </w:rPr>
              <w:t>1068</w:t>
            </w:r>
            <w:r w:rsidRPr="00432A50">
              <w:rPr>
                <w:rFonts w:ascii="Times New Roman" w:hAnsi="Times New Roman" w:cs="Times New Roman"/>
              </w:rPr>
              <w:t xml:space="preserve"> </w:t>
            </w:r>
            <w:r w:rsidRPr="00432A50">
              <w:rPr>
                <w:rFonts w:ascii="Times New Roman" w:hAnsi="Times New Roman" w:cs="Times New Roman"/>
                <w:b/>
                <w:bCs/>
                <w:color w:val="C00000"/>
              </w:rPr>
              <w:t>(5.57%)</w:t>
            </w:r>
          </w:p>
        </w:tc>
        <w:tc>
          <w:tcPr>
            <w:tcW w:w="1186" w:type="dxa"/>
            <w:tcBorders>
              <w:top w:val="single" w:sz="4" w:space="0" w:color="auto"/>
              <w:left w:val="single" w:sz="4" w:space="0" w:color="auto"/>
              <w:bottom w:val="single" w:sz="4" w:space="0" w:color="auto"/>
              <w:right w:val="single" w:sz="4" w:space="0" w:color="auto"/>
            </w:tcBorders>
            <w:hideMark/>
          </w:tcPr>
          <w:p w14:paraId="45534CA3"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274 </w:t>
            </w:r>
            <w:r w:rsidRPr="00432A50">
              <w:rPr>
                <w:rFonts w:ascii="Times New Roman" w:hAnsi="Times New Roman" w:cs="Times New Roman"/>
                <w:b/>
                <w:bCs/>
                <w:color w:val="002060"/>
              </w:rPr>
              <w:t>(5.34</w:t>
            </w:r>
            <w:r w:rsidRPr="00432A50">
              <w:rPr>
                <w:rFonts w:ascii="Times New Roman" w:hAnsi="Times New Roman" w:cs="Times New Roman"/>
                <w:b/>
                <w:bCs/>
                <w:color w:val="002060"/>
                <w:lang w:val="sr-Cyrl-RS"/>
              </w:rPr>
              <w:t>%</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27AFEAD9"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243 </w:t>
            </w:r>
            <w:r w:rsidRPr="00432A50">
              <w:rPr>
                <w:rFonts w:ascii="Times New Roman" w:hAnsi="Times New Roman" w:cs="Times New Roman"/>
                <w:b/>
                <w:bCs/>
                <w:color w:val="C00000"/>
              </w:rPr>
              <w:t>(</w:t>
            </w:r>
            <w:r w:rsidRPr="00432A50">
              <w:rPr>
                <w:rFonts w:ascii="Times New Roman" w:hAnsi="Times New Roman" w:cs="Times New Roman"/>
                <w:b/>
                <w:bCs/>
                <w:color w:val="C00000"/>
                <w:lang w:val="sr-Cyrl-RS"/>
              </w:rPr>
              <w:t>4.69%</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22D1544F"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173132 </w:t>
            </w:r>
            <w:r w:rsidRPr="00432A50">
              <w:rPr>
                <w:rFonts w:ascii="Times New Roman" w:hAnsi="Times New Roman" w:cs="Times New Roman"/>
                <w:b/>
                <w:bCs/>
                <w:color w:val="00B050"/>
              </w:rPr>
              <w:t>(5.83</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539C2D7E"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175203 </w:t>
            </w:r>
            <w:r w:rsidRPr="00432A50">
              <w:rPr>
                <w:rFonts w:ascii="Times New Roman" w:hAnsi="Times New Roman" w:cs="Times New Roman"/>
                <w:b/>
                <w:bCs/>
                <w:color w:val="00B050"/>
              </w:rPr>
              <w:t>(5.49</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794ED75E"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5ECD81" w14:textId="77777777" w:rsidR="00432A50" w:rsidRPr="00432A50" w:rsidRDefault="00432A50">
            <w:pPr>
              <w:rPr>
                <w:rFonts w:ascii="Times New Roman" w:hAnsi="Times New Roman" w:cs="Times New Roman"/>
              </w:rPr>
            </w:pPr>
            <w:r w:rsidRPr="00432A50">
              <w:rPr>
                <w:rFonts w:ascii="Times New Roman" w:hAnsi="Times New Roman" w:cs="Times New Roman"/>
                <w:lang w:val="sr-Cyrl-RS"/>
              </w:rPr>
              <w:t>Висока спрема</w:t>
            </w:r>
          </w:p>
        </w:tc>
        <w:tc>
          <w:tcPr>
            <w:tcW w:w="1186" w:type="dxa"/>
            <w:tcBorders>
              <w:top w:val="single" w:sz="4" w:space="0" w:color="auto"/>
              <w:left w:val="single" w:sz="4" w:space="0" w:color="auto"/>
              <w:bottom w:val="single" w:sz="4" w:space="0" w:color="auto"/>
              <w:right w:val="single" w:sz="4" w:space="0" w:color="auto"/>
            </w:tcBorders>
            <w:hideMark/>
          </w:tcPr>
          <w:p w14:paraId="10FE9F3D" w14:textId="77777777" w:rsidR="00432A50" w:rsidRPr="00432A50" w:rsidRDefault="00432A50">
            <w:pPr>
              <w:rPr>
                <w:rFonts w:ascii="Times New Roman" w:hAnsi="Times New Roman" w:cs="Times New Roman"/>
              </w:rPr>
            </w:pPr>
            <w:r w:rsidRPr="00432A50">
              <w:rPr>
                <w:rFonts w:ascii="Times New Roman" w:hAnsi="Times New Roman" w:cs="Times New Roman"/>
                <w:b/>
                <w:bCs/>
              </w:rPr>
              <w:t>1435</w:t>
            </w:r>
            <w:r w:rsidRPr="00432A50">
              <w:rPr>
                <w:rFonts w:ascii="Times New Roman" w:hAnsi="Times New Roman" w:cs="Times New Roman"/>
              </w:rPr>
              <w:t xml:space="preserve"> </w:t>
            </w:r>
            <w:r w:rsidRPr="00432A50">
              <w:rPr>
                <w:rFonts w:ascii="Times New Roman" w:hAnsi="Times New Roman" w:cs="Times New Roman"/>
                <w:b/>
                <w:bCs/>
                <w:color w:val="002060"/>
              </w:rPr>
              <w:t>(7.73%)</w:t>
            </w:r>
          </w:p>
        </w:tc>
        <w:tc>
          <w:tcPr>
            <w:tcW w:w="1109" w:type="dxa"/>
            <w:tcBorders>
              <w:top w:val="single" w:sz="4" w:space="0" w:color="auto"/>
              <w:left w:val="single" w:sz="4" w:space="0" w:color="auto"/>
              <w:bottom w:val="single" w:sz="4" w:space="0" w:color="auto"/>
              <w:right w:val="single" w:sz="4" w:space="0" w:color="auto"/>
            </w:tcBorders>
            <w:hideMark/>
          </w:tcPr>
          <w:p w14:paraId="132FA4AE" w14:textId="77777777" w:rsidR="00432A50" w:rsidRPr="00432A50" w:rsidRDefault="00432A50">
            <w:pPr>
              <w:rPr>
                <w:rFonts w:ascii="Times New Roman" w:hAnsi="Times New Roman" w:cs="Times New Roman"/>
              </w:rPr>
            </w:pPr>
            <w:r w:rsidRPr="00432A50">
              <w:rPr>
                <w:rFonts w:ascii="Times New Roman" w:hAnsi="Times New Roman" w:cs="Times New Roman"/>
                <w:b/>
                <w:bCs/>
              </w:rPr>
              <w:t>1265</w:t>
            </w:r>
            <w:r w:rsidRPr="00432A50">
              <w:rPr>
                <w:rFonts w:ascii="Times New Roman" w:hAnsi="Times New Roman" w:cs="Times New Roman"/>
              </w:rPr>
              <w:t xml:space="preserve"> </w:t>
            </w:r>
            <w:r w:rsidRPr="00432A50">
              <w:rPr>
                <w:rFonts w:ascii="Times New Roman" w:hAnsi="Times New Roman" w:cs="Times New Roman"/>
                <w:b/>
                <w:bCs/>
                <w:color w:val="C00000"/>
              </w:rPr>
              <w:t>(6.60%)</w:t>
            </w:r>
          </w:p>
        </w:tc>
        <w:tc>
          <w:tcPr>
            <w:tcW w:w="1186" w:type="dxa"/>
            <w:tcBorders>
              <w:top w:val="single" w:sz="4" w:space="0" w:color="auto"/>
              <w:left w:val="single" w:sz="4" w:space="0" w:color="auto"/>
              <w:bottom w:val="single" w:sz="4" w:space="0" w:color="auto"/>
              <w:right w:val="single" w:sz="4" w:space="0" w:color="auto"/>
            </w:tcBorders>
            <w:hideMark/>
          </w:tcPr>
          <w:p w14:paraId="25CD5F8F"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293 </w:t>
            </w:r>
            <w:r w:rsidRPr="00432A50">
              <w:rPr>
                <w:rFonts w:ascii="Times New Roman" w:hAnsi="Times New Roman" w:cs="Times New Roman"/>
                <w:b/>
                <w:bCs/>
                <w:color w:val="002060"/>
              </w:rPr>
              <w:t>(</w:t>
            </w:r>
            <w:r w:rsidRPr="00432A50">
              <w:rPr>
                <w:rFonts w:ascii="Times New Roman" w:hAnsi="Times New Roman" w:cs="Times New Roman"/>
                <w:b/>
                <w:bCs/>
                <w:color w:val="002060"/>
                <w:lang w:val="sr-Cyrl-RS"/>
              </w:rPr>
              <w:t>5.71%</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52D7BB34"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261 </w:t>
            </w:r>
            <w:r w:rsidRPr="00432A50">
              <w:rPr>
                <w:rFonts w:ascii="Times New Roman" w:hAnsi="Times New Roman" w:cs="Times New Roman"/>
                <w:b/>
                <w:bCs/>
                <w:color w:val="C00000"/>
              </w:rPr>
              <w:t>(</w:t>
            </w:r>
            <w:r w:rsidRPr="00432A50">
              <w:rPr>
                <w:rFonts w:ascii="Times New Roman" w:hAnsi="Times New Roman" w:cs="Times New Roman"/>
                <w:b/>
                <w:bCs/>
                <w:color w:val="C00000"/>
                <w:lang w:val="sr-Cyrl-RS"/>
              </w:rPr>
              <w:t>5.03%</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393593F5"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308824 </w:t>
            </w:r>
            <w:r w:rsidRPr="00432A50">
              <w:rPr>
                <w:rFonts w:ascii="Times New Roman" w:hAnsi="Times New Roman" w:cs="Times New Roman"/>
                <w:b/>
                <w:bCs/>
                <w:color w:val="00B050"/>
              </w:rPr>
              <w:t>(10.39</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5779DE37"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343410 </w:t>
            </w:r>
            <w:r w:rsidRPr="00432A50">
              <w:rPr>
                <w:rFonts w:ascii="Times New Roman" w:hAnsi="Times New Roman" w:cs="Times New Roman"/>
                <w:b/>
                <w:bCs/>
                <w:color w:val="00B050"/>
              </w:rPr>
              <w:t>(10.77</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5B1CC4A4"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A926DC"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 xml:space="preserve">Непознато </w:t>
            </w:r>
          </w:p>
        </w:tc>
        <w:tc>
          <w:tcPr>
            <w:tcW w:w="1186" w:type="dxa"/>
            <w:tcBorders>
              <w:top w:val="single" w:sz="4" w:space="0" w:color="auto"/>
              <w:left w:val="single" w:sz="4" w:space="0" w:color="auto"/>
              <w:bottom w:val="single" w:sz="4" w:space="0" w:color="auto"/>
              <w:right w:val="single" w:sz="4" w:space="0" w:color="auto"/>
            </w:tcBorders>
            <w:hideMark/>
          </w:tcPr>
          <w:p w14:paraId="5444AD8C" w14:textId="77777777" w:rsidR="00432A50" w:rsidRPr="00432A50" w:rsidRDefault="00432A50">
            <w:pPr>
              <w:rPr>
                <w:rFonts w:ascii="Times New Roman" w:hAnsi="Times New Roman" w:cs="Times New Roman"/>
                <w:lang w:val="en-GB"/>
              </w:rPr>
            </w:pPr>
            <w:r w:rsidRPr="00432A50">
              <w:rPr>
                <w:rFonts w:ascii="Times New Roman" w:hAnsi="Times New Roman" w:cs="Times New Roman"/>
                <w:b/>
                <w:bCs/>
              </w:rPr>
              <w:t>95</w:t>
            </w:r>
            <w:r w:rsidRPr="00432A50">
              <w:rPr>
                <w:rFonts w:ascii="Times New Roman" w:hAnsi="Times New Roman" w:cs="Times New Roman"/>
              </w:rPr>
              <w:t xml:space="preserve"> </w:t>
            </w:r>
          </w:p>
          <w:p w14:paraId="69C2B5B7" w14:textId="77777777" w:rsidR="00432A50" w:rsidRPr="00432A50" w:rsidRDefault="00432A50">
            <w:pPr>
              <w:rPr>
                <w:rFonts w:ascii="Times New Roman" w:hAnsi="Times New Roman" w:cs="Times New Roman"/>
                <w:b/>
                <w:bCs/>
              </w:rPr>
            </w:pPr>
            <w:r w:rsidRPr="00432A50">
              <w:rPr>
                <w:rFonts w:ascii="Times New Roman" w:hAnsi="Times New Roman" w:cs="Times New Roman"/>
                <w:b/>
                <w:bCs/>
                <w:color w:val="002060"/>
              </w:rPr>
              <w:t>(0.51%)</w:t>
            </w:r>
          </w:p>
        </w:tc>
        <w:tc>
          <w:tcPr>
            <w:tcW w:w="1109" w:type="dxa"/>
            <w:tcBorders>
              <w:top w:val="single" w:sz="4" w:space="0" w:color="auto"/>
              <w:left w:val="single" w:sz="4" w:space="0" w:color="auto"/>
              <w:bottom w:val="single" w:sz="4" w:space="0" w:color="auto"/>
              <w:right w:val="single" w:sz="4" w:space="0" w:color="auto"/>
            </w:tcBorders>
            <w:hideMark/>
          </w:tcPr>
          <w:p w14:paraId="6DC20FDC" w14:textId="77777777" w:rsidR="00432A50" w:rsidRPr="00432A50" w:rsidRDefault="00432A50">
            <w:pPr>
              <w:rPr>
                <w:rFonts w:ascii="Times New Roman" w:hAnsi="Times New Roman" w:cs="Times New Roman"/>
              </w:rPr>
            </w:pPr>
            <w:r w:rsidRPr="00432A50">
              <w:rPr>
                <w:rFonts w:ascii="Times New Roman" w:hAnsi="Times New Roman" w:cs="Times New Roman"/>
                <w:b/>
                <w:bCs/>
              </w:rPr>
              <w:t>108</w:t>
            </w:r>
            <w:r w:rsidRPr="00432A50">
              <w:rPr>
                <w:rFonts w:ascii="Times New Roman" w:hAnsi="Times New Roman" w:cs="Times New Roman"/>
              </w:rPr>
              <w:t xml:space="preserve"> </w:t>
            </w:r>
            <w:r w:rsidRPr="00432A50">
              <w:rPr>
                <w:rFonts w:ascii="Times New Roman" w:hAnsi="Times New Roman" w:cs="Times New Roman"/>
                <w:b/>
                <w:bCs/>
                <w:color w:val="C00000"/>
              </w:rPr>
              <w:t>(0.56%)</w:t>
            </w:r>
          </w:p>
        </w:tc>
        <w:tc>
          <w:tcPr>
            <w:tcW w:w="1186" w:type="dxa"/>
            <w:tcBorders>
              <w:top w:val="single" w:sz="4" w:space="0" w:color="auto"/>
              <w:left w:val="single" w:sz="4" w:space="0" w:color="auto"/>
              <w:bottom w:val="single" w:sz="4" w:space="0" w:color="auto"/>
              <w:right w:val="single" w:sz="4" w:space="0" w:color="auto"/>
            </w:tcBorders>
            <w:hideMark/>
          </w:tcPr>
          <w:p w14:paraId="48E757B8" w14:textId="77777777" w:rsidR="00432A50" w:rsidRPr="00432A50" w:rsidRDefault="00432A50">
            <w:pPr>
              <w:rPr>
                <w:rFonts w:ascii="Times New Roman" w:hAnsi="Times New Roman" w:cs="Times New Roman"/>
                <w:lang w:val="en-GB"/>
              </w:rPr>
            </w:pPr>
            <w:r w:rsidRPr="00432A50">
              <w:rPr>
                <w:rFonts w:ascii="Times New Roman" w:hAnsi="Times New Roman" w:cs="Times New Roman"/>
              </w:rPr>
              <w:t xml:space="preserve">12 </w:t>
            </w:r>
          </w:p>
          <w:p w14:paraId="6E1CFDCA" w14:textId="77777777" w:rsidR="00432A50" w:rsidRPr="00432A50" w:rsidRDefault="00432A50">
            <w:pPr>
              <w:rPr>
                <w:rFonts w:ascii="Times New Roman" w:hAnsi="Times New Roman" w:cs="Times New Roman"/>
                <w:b/>
                <w:bCs/>
              </w:rPr>
            </w:pPr>
            <w:r w:rsidRPr="00432A50">
              <w:rPr>
                <w:rFonts w:ascii="Times New Roman" w:hAnsi="Times New Roman" w:cs="Times New Roman"/>
                <w:b/>
                <w:bCs/>
                <w:color w:val="002060"/>
              </w:rPr>
              <w:t>(</w:t>
            </w:r>
            <w:r w:rsidRPr="00432A50">
              <w:rPr>
                <w:rFonts w:ascii="Times New Roman" w:hAnsi="Times New Roman" w:cs="Times New Roman"/>
                <w:b/>
                <w:bCs/>
                <w:color w:val="002060"/>
                <w:lang w:val="sr-Cyrl-RS"/>
              </w:rPr>
              <w:t>0.23%</w:t>
            </w:r>
            <w:r w:rsidRPr="00432A50">
              <w:rPr>
                <w:rFonts w:ascii="Times New Roman" w:hAnsi="Times New Roman" w:cs="Times New Roman"/>
                <w:b/>
                <w:bCs/>
                <w:color w:val="002060"/>
              </w:rPr>
              <w:t>)</w:t>
            </w:r>
          </w:p>
        </w:tc>
        <w:tc>
          <w:tcPr>
            <w:tcW w:w="1149" w:type="dxa"/>
            <w:tcBorders>
              <w:top w:val="single" w:sz="4" w:space="0" w:color="auto"/>
              <w:left w:val="single" w:sz="4" w:space="0" w:color="auto"/>
              <w:bottom w:val="single" w:sz="4" w:space="0" w:color="auto"/>
              <w:right w:val="single" w:sz="4" w:space="0" w:color="auto"/>
            </w:tcBorders>
            <w:hideMark/>
          </w:tcPr>
          <w:p w14:paraId="69412751" w14:textId="77777777" w:rsidR="00432A50" w:rsidRPr="00432A50" w:rsidRDefault="00432A50">
            <w:pPr>
              <w:rPr>
                <w:rFonts w:ascii="Times New Roman" w:hAnsi="Times New Roman" w:cs="Times New Roman"/>
                <w:lang w:val="en-GB"/>
              </w:rPr>
            </w:pPr>
            <w:r w:rsidRPr="00432A50">
              <w:rPr>
                <w:rFonts w:ascii="Times New Roman" w:hAnsi="Times New Roman" w:cs="Times New Roman"/>
                <w:lang w:val="sr-Cyrl-RS"/>
              </w:rPr>
              <w:t xml:space="preserve">11 </w:t>
            </w:r>
            <w:r w:rsidRPr="00432A50">
              <w:rPr>
                <w:rFonts w:ascii="Times New Roman" w:hAnsi="Times New Roman" w:cs="Times New Roman"/>
                <w:b/>
                <w:bCs/>
                <w:color w:val="C00000"/>
              </w:rPr>
              <w:t>(</w:t>
            </w:r>
            <w:r w:rsidRPr="00432A50">
              <w:rPr>
                <w:rFonts w:ascii="Times New Roman" w:hAnsi="Times New Roman" w:cs="Times New Roman"/>
                <w:b/>
                <w:bCs/>
                <w:color w:val="C00000"/>
                <w:lang w:val="sr-Cyrl-RS"/>
              </w:rPr>
              <w:t>0.21%</w:t>
            </w:r>
            <w:r w:rsidRPr="00432A50">
              <w:rPr>
                <w:rFonts w:ascii="Times New Roman" w:hAnsi="Times New Roman" w:cs="Times New Roman"/>
                <w:b/>
                <w:bCs/>
                <w:color w:val="C00000"/>
              </w:rPr>
              <w:t>)</w:t>
            </w:r>
          </w:p>
        </w:tc>
        <w:tc>
          <w:tcPr>
            <w:tcW w:w="1186" w:type="dxa"/>
            <w:tcBorders>
              <w:top w:val="single" w:sz="4" w:space="0" w:color="auto"/>
              <w:left w:val="single" w:sz="4" w:space="0" w:color="auto"/>
              <w:bottom w:val="single" w:sz="4" w:space="0" w:color="auto"/>
              <w:right w:val="single" w:sz="4" w:space="0" w:color="auto"/>
            </w:tcBorders>
            <w:hideMark/>
          </w:tcPr>
          <w:p w14:paraId="038E2EDD"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11239 </w:t>
            </w:r>
            <w:r w:rsidRPr="00432A50">
              <w:rPr>
                <w:rFonts w:ascii="Times New Roman" w:hAnsi="Times New Roman" w:cs="Times New Roman"/>
                <w:b/>
                <w:bCs/>
                <w:color w:val="00B050"/>
              </w:rPr>
              <w:t>(0.38</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c>
          <w:tcPr>
            <w:tcW w:w="1082" w:type="dxa"/>
            <w:tcBorders>
              <w:top w:val="single" w:sz="4" w:space="0" w:color="auto"/>
              <w:left w:val="single" w:sz="4" w:space="0" w:color="auto"/>
              <w:bottom w:val="single" w:sz="4" w:space="0" w:color="auto"/>
              <w:right w:val="single" w:sz="4" w:space="0" w:color="auto"/>
            </w:tcBorders>
            <w:hideMark/>
          </w:tcPr>
          <w:p w14:paraId="00A87F00" w14:textId="77777777" w:rsidR="00432A50" w:rsidRPr="00432A50" w:rsidRDefault="00432A50">
            <w:pPr>
              <w:rPr>
                <w:rFonts w:ascii="Times New Roman" w:hAnsi="Times New Roman" w:cs="Times New Roman"/>
              </w:rPr>
            </w:pPr>
            <w:r w:rsidRPr="00432A50">
              <w:rPr>
                <w:rFonts w:ascii="Times New Roman" w:hAnsi="Times New Roman" w:cs="Times New Roman"/>
              </w:rPr>
              <w:t xml:space="preserve">13185 </w:t>
            </w:r>
            <w:r w:rsidRPr="00432A50">
              <w:rPr>
                <w:rFonts w:ascii="Times New Roman" w:hAnsi="Times New Roman" w:cs="Times New Roman"/>
                <w:b/>
                <w:bCs/>
                <w:color w:val="00B050"/>
              </w:rPr>
              <w:t>(0.41</w:t>
            </w:r>
            <w:r w:rsidRPr="00432A50">
              <w:rPr>
                <w:rFonts w:ascii="Times New Roman" w:hAnsi="Times New Roman" w:cs="Times New Roman"/>
                <w:b/>
                <w:bCs/>
                <w:color w:val="00B050"/>
                <w:lang w:val="sr-Cyrl-RS"/>
              </w:rPr>
              <w:t>%</w:t>
            </w:r>
            <w:r w:rsidRPr="00432A50">
              <w:rPr>
                <w:rFonts w:ascii="Times New Roman" w:hAnsi="Times New Roman" w:cs="Times New Roman"/>
                <w:b/>
                <w:bCs/>
                <w:color w:val="00B050"/>
              </w:rPr>
              <w:t>)</w:t>
            </w:r>
          </w:p>
        </w:tc>
      </w:tr>
      <w:tr w:rsidR="00432A50" w:rsidRPr="00432A50" w14:paraId="4F97CAE6" w14:textId="77777777" w:rsidTr="00432A50">
        <w:tc>
          <w:tcPr>
            <w:tcW w:w="226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B0B6C5" w14:textId="77777777" w:rsidR="00432A50" w:rsidRPr="00432A50" w:rsidRDefault="00432A50">
            <w:pPr>
              <w:rPr>
                <w:rFonts w:ascii="Times New Roman" w:hAnsi="Times New Roman" w:cs="Times New Roman"/>
                <w:lang w:val="sr-Cyrl-RS"/>
              </w:rPr>
            </w:pPr>
            <w:r w:rsidRPr="00432A50">
              <w:rPr>
                <w:rFonts w:ascii="Times New Roman" w:hAnsi="Times New Roman" w:cs="Times New Roman"/>
                <w:lang w:val="sr-Cyrl-RS"/>
              </w:rPr>
              <w:t>Укупно</w:t>
            </w:r>
          </w:p>
        </w:tc>
        <w:tc>
          <w:tcPr>
            <w:tcW w:w="1186" w:type="dxa"/>
            <w:tcBorders>
              <w:top w:val="single" w:sz="4" w:space="0" w:color="auto"/>
              <w:left w:val="single" w:sz="4" w:space="0" w:color="auto"/>
              <w:bottom w:val="single" w:sz="4" w:space="0" w:color="auto"/>
              <w:right w:val="single" w:sz="4" w:space="0" w:color="auto"/>
            </w:tcBorders>
            <w:hideMark/>
          </w:tcPr>
          <w:p w14:paraId="0B609E27" w14:textId="77777777" w:rsidR="00432A50" w:rsidRPr="00432A50" w:rsidRDefault="00432A50">
            <w:pPr>
              <w:rPr>
                <w:rFonts w:ascii="Times New Roman" w:hAnsi="Times New Roman" w:cs="Times New Roman"/>
              </w:rPr>
            </w:pPr>
            <w:r w:rsidRPr="00432A50">
              <w:rPr>
                <w:rFonts w:ascii="Times New Roman" w:hAnsi="Times New Roman" w:cs="Times New Roman"/>
              </w:rPr>
              <w:t>18560</w:t>
            </w:r>
          </w:p>
        </w:tc>
        <w:tc>
          <w:tcPr>
            <w:tcW w:w="1109" w:type="dxa"/>
            <w:tcBorders>
              <w:top w:val="single" w:sz="4" w:space="0" w:color="auto"/>
              <w:left w:val="single" w:sz="4" w:space="0" w:color="auto"/>
              <w:bottom w:val="single" w:sz="4" w:space="0" w:color="auto"/>
              <w:right w:val="single" w:sz="4" w:space="0" w:color="auto"/>
            </w:tcBorders>
            <w:hideMark/>
          </w:tcPr>
          <w:p w14:paraId="149FF7F1" w14:textId="77777777" w:rsidR="00432A50" w:rsidRPr="00432A50" w:rsidRDefault="00432A50">
            <w:pPr>
              <w:rPr>
                <w:rFonts w:ascii="Times New Roman" w:hAnsi="Times New Roman" w:cs="Times New Roman"/>
              </w:rPr>
            </w:pPr>
            <w:r w:rsidRPr="00432A50">
              <w:rPr>
                <w:rFonts w:ascii="Times New Roman" w:hAnsi="Times New Roman" w:cs="Times New Roman"/>
              </w:rPr>
              <w:t>19169</w:t>
            </w:r>
          </w:p>
        </w:tc>
        <w:tc>
          <w:tcPr>
            <w:tcW w:w="1186" w:type="dxa"/>
            <w:tcBorders>
              <w:top w:val="single" w:sz="4" w:space="0" w:color="auto"/>
              <w:left w:val="single" w:sz="4" w:space="0" w:color="auto"/>
              <w:bottom w:val="single" w:sz="4" w:space="0" w:color="auto"/>
              <w:right w:val="single" w:sz="4" w:space="0" w:color="auto"/>
            </w:tcBorders>
            <w:hideMark/>
          </w:tcPr>
          <w:p w14:paraId="57F78DC0" w14:textId="77777777" w:rsidR="00432A50" w:rsidRPr="00432A50" w:rsidRDefault="00432A50">
            <w:pPr>
              <w:rPr>
                <w:rFonts w:ascii="Times New Roman" w:hAnsi="Times New Roman" w:cs="Times New Roman"/>
              </w:rPr>
            </w:pPr>
            <w:r w:rsidRPr="00432A50">
              <w:rPr>
                <w:rFonts w:ascii="Times New Roman" w:hAnsi="Times New Roman" w:cs="Times New Roman"/>
              </w:rPr>
              <w:t>5132</w:t>
            </w:r>
          </w:p>
        </w:tc>
        <w:tc>
          <w:tcPr>
            <w:tcW w:w="1149" w:type="dxa"/>
            <w:tcBorders>
              <w:top w:val="single" w:sz="4" w:space="0" w:color="auto"/>
              <w:left w:val="single" w:sz="4" w:space="0" w:color="auto"/>
              <w:bottom w:val="single" w:sz="4" w:space="0" w:color="auto"/>
              <w:right w:val="single" w:sz="4" w:space="0" w:color="auto"/>
            </w:tcBorders>
            <w:hideMark/>
          </w:tcPr>
          <w:p w14:paraId="4F05D73D" w14:textId="77777777" w:rsidR="00432A50" w:rsidRPr="00432A50" w:rsidRDefault="00432A50">
            <w:pPr>
              <w:rPr>
                <w:rFonts w:ascii="Times New Roman" w:hAnsi="Times New Roman" w:cs="Times New Roman"/>
              </w:rPr>
            </w:pPr>
            <w:r w:rsidRPr="00432A50">
              <w:rPr>
                <w:rFonts w:ascii="Times New Roman" w:hAnsi="Times New Roman" w:cs="Times New Roman"/>
              </w:rPr>
              <w:t>5185</w:t>
            </w:r>
          </w:p>
        </w:tc>
        <w:tc>
          <w:tcPr>
            <w:tcW w:w="1186" w:type="dxa"/>
            <w:tcBorders>
              <w:top w:val="single" w:sz="4" w:space="0" w:color="auto"/>
              <w:left w:val="single" w:sz="4" w:space="0" w:color="auto"/>
              <w:bottom w:val="single" w:sz="4" w:space="0" w:color="auto"/>
              <w:right w:val="single" w:sz="4" w:space="0" w:color="auto"/>
            </w:tcBorders>
            <w:hideMark/>
          </w:tcPr>
          <w:p w14:paraId="2E1F2CDB" w14:textId="77777777" w:rsidR="00432A50" w:rsidRPr="00432A50" w:rsidRDefault="00432A50">
            <w:pPr>
              <w:rPr>
                <w:rFonts w:ascii="Times New Roman" w:hAnsi="Times New Roman" w:cs="Times New Roman"/>
              </w:rPr>
            </w:pPr>
            <w:r w:rsidRPr="00432A50">
              <w:rPr>
                <w:rFonts w:ascii="Times New Roman" w:hAnsi="Times New Roman" w:cs="Times New Roman"/>
              </w:rPr>
              <w:t>2971868</w:t>
            </w:r>
          </w:p>
        </w:tc>
        <w:tc>
          <w:tcPr>
            <w:tcW w:w="1082" w:type="dxa"/>
            <w:tcBorders>
              <w:top w:val="single" w:sz="4" w:space="0" w:color="auto"/>
              <w:left w:val="single" w:sz="4" w:space="0" w:color="auto"/>
              <w:bottom w:val="single" w:sz="4" w:space="0" w:color="auto"/>
              <w:right w:val="single" w:sz="4" w:space="0" w:color="auto"/>
            </w:tcBorders>
            <w:hideMark/>
          </w:tcPr>
          <w:p w14:paraId="7D08A466" w14:textId="77777777" w:rsidR="00432A50" w:rsidRPr="00432A50" w:rsidRDefault="00432A50">
            <w:pPr>
              <w:rPr>
                <w:rFonts w:ascii="Times New Roman" w:hAnsi="Times New Roman" w:cs="Times New Roman"/>
              </w:rPr>
            </w:pPr>
            <w:r w:rsidRPr="00432A50">
              <w:rPr>
                <w:rFonts w:ascii="Times New Roman" w:hAnsi="Times New Roman" w:cs="Times New Roman"/>
              </w:rPr>
              <w:t>3189716</w:t>
            </w:r>
          </w:p>
        </w:tc>
      </w:tr>
    </w:tbl>
    <w:p w14:paraId="0D4FBE7D" w14:textId="77777777" w:rsidR="00432A50" w:rsidRPr="00432A50" w:rsidRDefault="00432A50" w:rsidP="00432A50">
      <w:pPr>
        <w:jc w:val="right"/>
        <w:rPr>
          <w:rFonts w:ascii="Times New Roman" w:hAnsi="Times New Roman" w:cs="Times New Roman"/>
          <w:i/>
          <w:iCs/>
          <w:sz w:val="20"/>
          <w:szCs w:val="20"/>
          <w:lang w:val="sr-Cyrl-RS"/>
        </w:rPr>
      </w:pPr>
      <w:r w:rsidRPr="00432A50">
        <w:rPr>
          <w:rFonts w:ascii="Times New Roman" w:hAnsi="Times New Roman" w:cs="Times New Roman"/>
          <w:i/>
          <w:iCs/>
          <w:sz w:val="20"/>
          <w:szCs w:val="20"/>
          <w:lang w:val="sr-Cyrl-RS"/>
        </w:rPr>
        <w:t>Извор, РЗС, Становништво, општине и региони у Србији 2014. (Становништво старо 15 и више година, према школској спреми и полу, по попису 2011.</w:t>
      </w:r>
    </w:p>
    <w:p w14:paraId="407D25EF" w14:textId="77777777" w:rsidR="00432A50" w:rsidRDefault="00432A50">
      <w:pPr>
        <w:rPr>
          <w:sz w:val="24"/>
          <w:szCs w:val="24"/>
          <w:lang w:val="sr-Cyrl-RS"/>
        </w:rPr>
      </w:pPr>
      <w:r>
        <w:rPr>
          <w:sz w:val="24"/>
          <w:szCs w:val="24"/>
          <w:lang w:val="sr-Cyrl-RS"/>
        </w:rPr>
        <w:br w:type="page"/>
      </w:r>
    </w:p>
    <w:p w14:paraId="32EA2FFE" w14:textId="619BF12D" w:rsidR="00432A50" w:rsidRDefault="00432A50" w:rsidP="00432A50">
      <w:pPr>
        <w:pStyle w:val="a0"/>
      </w:pPr>
      <w:r>
        <w:lastRenderedPageBreak/>
        <w:t>График</w:t>
      </w:r>
      <w:r w:rsidR="00740096">
        <w:t xml:space="preserve"> 6.</w:t>
      </w:r>
      <w:r>
        <w:t xml:space="preserve"> Приказ образовне структуре жена у односу на просек образовне структуре жена на републичком нивоу:</w:t>
      </w:r>
    </w:p>
    <w:p w14:paraId="5D400295" w14:textId="0ADA6083" w:rsidR="00432A50" w:rsidRDefault="00432A50" w:rsidP="00432A50">
      <w:pPr>
        <w:jc w:val="center"/>
        <w:rPr>
          <w:sz w:val="20"/>
          <w:szCs w:val="20"/>
          <w:lang w:val="sr-Cyrl-RS"/>
        </w:rPr>
      </w:pPr>
      <w:r>
        <w:rPr>
          <w:noProof/>
          <w:lang w:val="sr-Latn-RS" w:eastAsia="sr-Latn-RS"/>
        </w:rPr>
        <w:drawing>
          <wp:inline distT="0" distB="0" distL="0" distR="0" wp14:anchorId="7F35F632" wp14:editId="558E1085">
            <wp:extent cx="5497195" cy="2816352"/>
            <wp:effectExtent l="0" t="0" r="8255" b="31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7E3AA" w14:textId="0B84C213" w:rsidR="00432A50" w:rsidRPr="00D13542" w:rsidRDefault="00432A50" w:rsidP="00D13542">
      <w:pPr>
        <w:pStyle w:val="Tekst-1"/>
        <w:rPr>
          <w:color w:val="000000" w:themeColor="text1"/>
          <w:sz w:val="22"/>
          <w:szCs w:val="22"/>
        </w:rPr>
      </w:pPr>
      <w:r>
        <w:t xml:space="preserve">Из приложеног можемо видети да је изузетно висока разлика у образовној структури жена  у Блацу и Прокупљу у односу на републички просек у категоријама „без школске спреме“ и „висока школаска спрема“. У Прокупљу је </w:t>
      </w:r>
      <w:r w:rsidR="00D13542" w:rsidRPr="00D13542">
        <w:rPr>
          <w:b/>
          <w:bCs/>
        </w:rPr>
        <w:t>три пута</w:t>
      </w:r>
      <w:r w:rsidRPr="00D13542">
        <w:rPr>
          <w:b/>
          <w:bCs/>
        </w:rPr>
        <w:t xml:space="preserve"> више жена без икаквог образовања</w:t>
      </w:r>
      <w:r>
        <w:t xml:space="preserve"> (</w:t>
      </w:r>
      <w:r>
        <w:rPr>
          <w:b/>
          <w:bCs/>
          <w:color w:val="C00000"/>
        </w:rPr>
        <w:t>13.75%</w:t>
      </w:r>
      <w:r>
        <w:t>) у односу на републички просек (</w:t>
      </w:r>
      <w:r>
        <w:rPr>
          <w:b/>
          <w:bCs/>
          <w:color w:val="00B050"/>
        </w:rPr>
        <w:t>4.21%</w:t>
      </w:r>
      <w:r>
        <w:t>), док је у Блацу тај однос нешто мањи али такође значајан (</w:t>
      </w:r>
      <w:r>
        <w:rPr>
          <w:b/>
          <w:bCs/>
          <w:color w:val="C00000"/>
        </w:rPr>
        <w:t xml:space="preserve">7.57% </w:t>
      </w:r>
      <w:r>
        <w:t>у односу на републички просек од</w:t>
      </w:r>
      <w:r>
        <w:rPr>
          <w:b/>
          <w:bCs/>
        </w:rPr>
        <w:t xml:space="preserve"> </w:t>
      </w:r>
      <w:r>
        <w:rPr>
          <w:b/>
          <w:bCs/>
          <w:color w:val="00B050"/>
        </w:rPr>
        <w:t>4.21%</w:t>
      </w:r>
      <w:r>
        <w:t xml:space="preserve">). Сходно овим показатељима, битно је нагласити да је велика разлика уочљива и међу женама са високим образовањем у посматраним јединицама. У Блацу имамо дупло мањи проценат жена са високим образовањем </w:t>
      </w:r>
      <w:r>
        <w:rPr>
          <w:b/>
          <w:bCs/>
        </w:rPr>
        <w:t>(</w:t>
      </w:r>
      <w:r>
        <w:rPr>
          <w:b/>
          <w:bCs/>
          <w:color w:val="C00000"/>
        </w:rPr>
        <w:t>6.60%</w:t>
      </w:r>
      <w:r>
        <w:rPr>
          <w:b/>
          <w:bCs/>
        </w:rPr>
        <w:t>)</w:t>
      </w:r>
      <w:r>
        <w:t xml:space="preserve"> у односу на републички просек </w:t>
      </w:r>
      <w:r>
        <w:rPr>
          <w:b/>
          <w:bCs/>
        </w:rPr>
        <w:t>(</w:t>
      </w:r>
      <w:r>
        <w:rPr>
          <w:b/>
          <w:bCs/>
          <w:color w:val="00B050"/>
        </w:rPr>
        <w:t>10.77%</w:t>
      </w:r>
      <w:r>
        <w:t>), док је и у Прокупљу ова разлика чак и већа (</w:t>
      </w:r>
      <w:r>
        <w:rPr>
          <w:b/>
          <w:bCs/>
          <w:color w:val="C00000"/>
        </w:rPr>
        <w:t>5.03%</w:t>
      </w:r>
      <w:r>
        <w:rPr>
          <w:color w:val="000000" w:themeColor="text1"/>
        </w:rPr>
        <w:t>).</w:t>
      </w:r>
    </w:p>
    <w:p w14:paraId="11D5B41F" w14:textId="71637CF3" w:rsidR="00432A50" w:rsidRDefault="00D13542" w:rsidP="00D13542">
      <w:pPr>
        <w:pStyle w:val="a0"/>
      </w:pPr>
      <w:r>
        <w:t>График</w:t>
      </w:r>
      <w:r w:rsidR="00740096">
        <w:t xml:space="preserve"> 7.</w:t>
      </w:r>
      <w:r w:rsidR="00432A50">
        <w:t xml:space="preserve"> Приказ образовне структуре мушкараца у односу на просек образовне структуре мушкараца на републичком нивоу:</w:t>
      </w:r>
    </w:p>
    <w:p w14:paraId="4E6BC80D" w14:textId="2CC4D278" w:rsidR="00432A50" w:rsidRDefault="00432A50" w:rsidP="00D13542">
      <w:pPr>
        <w:jc w:val="center"/>
        <w:rPr>
          <w:sz w:val="24"/>
          <w:szCs w:val="24"/>
          <w:lang w:val="sr-Cyrl-RS"/>
        </w:rPr>
      </w:pPr>
      <w:r>
        <w:rPr>
          <w:noProof/>
          <w:lang w:val="sr-Latn-RS" w:eastAsia="sr-Latn-RS"/>
        </w:rPr>
        <w:drawing>
          <wp:inline distT="0" distB="0" distL="0" distR="0" wp14:anchorId="5432C7C3" wp14:editId="69BA0FE8">
            <wp:extent cx="5497195" cy="3211195"/>
            <wp:effectExtent l="0" t="0" r="8255" b="825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E67CCE" w14:textId="77777777" w:rsidR="00432A50" w:rsidRDefault="00432A50" w:rsidP="00D13542">
      <w:pPr>
        <w:pStyle w:val="Tekst-1"/>
        <w:rPr>
          <w:sz w:val="22"/>
          <w:szCs w:val="22"/>
        </w:rPr>
      </w:pPr>
      <w:r>
        <w:lastRenderedPageBreak/>
        <w:t xml:space="preserve">Разлике у образовној структури мушкараца у односу на републички просек највише се показују у категоријама „непотпуног основног образовања“ и „високог образовања“. </w:t>
      </w:r>
      <w:r>
        <w:rPr>
          <w:sz w:val="20"/>
          <w:szCs w:val="20"/>
        </w:rPr>
        <w:t xml:space="preserve">На републичком нивоу се бележи просек од </w:t>
      </w:r>
      <w:r>
        <w:rPr>
          <w:b/>
          <w:bCs/>
          <w:color w:val="00B050"/>
        </w:rPr>
        <w:t xml:space="preserve">8.12% </w:t>
      </w:r>
      <w:r>
        <w:t>мушкараца са непотпуним основним образовањем од којег Блаце не одступа много (</w:t>
      </w:r>
      <w:r>
        <w:rPr>
          <w:b/>
          <w:bCs/>
          <w:color w:val="002060"/>
        </w:rPr>
        <w:t>8.52%</w:t>
      </w:r>
      <w:r>
        <w:t>), али је зато у Прокупљу проценат мушкараца са непуним основним образовањем скоро дупло већи (</w:t>
      </w:r>
      <w:r>
        <w:rPr>
          <w:b/>
          <w:bCs/>
          <w:color w:val="002060"/>
        </w:rPr>
        <w:t>14.09%</w:t>
      </w:r>
      <w:r>
        <w:t>). Када је реч о високом образовању, може се рећи да је проценат високообразованих мушкараца у Блацу (</w:t>
      </w:r>
      <w:r>
        <w:rPr>
          <w:b/>
          <w:bCs/>
          <w:color w:val="002060"/>
        </w:rPr>
        <w:t>7.73%</w:t>
      </w:r>
      <w:r>
        <w:t>) доста испод републичког просека (</w:t>
      </w:r>
      <w:r>
        <w:rPr>
          <w:b/>
          <w:bCs/>
          <w:color w:val="00B050"/>
        </w:rPr>
        <w:t>10.77%</w:t>
      </w:r>
      <w:r>
        <w:t>), док је проценат високообразованих мушкараца у Прокупљу ДУПЛО мањи од републичког просека (</w:t>
      </w:r>
      <w:r>
        <w:rPr>
          <w:b/>
          <w:bCs/>
          <w:color w:val="002060"/>
        </w:rPr>
        <w:t>5.71%</w:t>
      </w:r>
      <w:r>
        <w:t>)</w:t>
      </w:r>
    </w:p>
    <w:p w14:paraId="004EBBC3" w14:textId="1DAAB31E" w:rsidR="00432A50" w:rsidRDefault="00432A50" w:rsidP="00D13542">
      <w:pPr>
        <w:pStyle w:val="Tekst-1"/>
      </w:pPr>
      <w:r>
        <w:rPr>
          <w:b/>
          <w:bCs/>
        </w:rPr>
        <w:t>Закључак:</w:t>
      </w:r>
      <w:r>
        <w:t xml:space="preserve"> уочавамо правилност да су образовне структуре жена и мушкараца у Блацу и Прокупљу значајно лошије у односу на републички просек, што би значило да у овом граду (Прокупљу) и општини (Блацу) имамо </w:t>
      </w:r>
      <w:r>
        <w:rPr>
          <w:i/>
          <w:iCs/>
          <w:u w:val="single"/>
        </w:rPr>
        <w:t>много већи проценат жена и мушкараца са слабом образовном структуром</w:t>
      </w:r>
      <w:r>
        <w:t xml:space="preserve"> у односу на републички просек, и </w:t>
      </w:r>
      <w:r>
        <w:rPr>
          <w:i/>
          <w:iCs/>
          <w:u w:val="single"/>
        </w:rPr>
        <w:t>много мањи број високо-образованих</w:t>
      </w:r>
      <w:r>
        <w:t xml:space="preserve"> у односу на републички просек. Посебно посматрани параметри образовне структуре М и Ж у Прокупљу и Блацу (у односу на републичке просеке) указују нам да је образовна структура жена и мушкараца Прокуп</w:t>
      </w:r>
      <w:r w:rsidR="00D13542">
        <w:t>ч</w:t>
      </w:r>
      <w:r>
        <w:t xml:space="preserve">ана значајно лошија у односу на параметре општине Блаце по готово свим параметрима. </w:t>
      </w:r>
    </w:p>
    <w:p w14:paraId="0F7C013D" w14:textId="0DCAF127" w:rsidR="00432A50" w:rsidRDefault="00D13542" w:rsidP="00D13542">
      <w:pPr>
        <w:pStyle w:val="a0"/>
      </w:pPr>
      <w:r>
        <w:t>График</w:t>
      </w:r>
      <w:r w:rsidR="00740096">
        <w:t xml:space="preserve"> 8.</w:t>
      </w:r>
      <w:r w:rsidR="00432A50">
        <w:t xml:space="preserve"> Упоредни приказ образовне структуре жена и мушкараца у општини Блаце</w:t>
      </w:r>
    </w:p>
    <w:p w14:paraId="23484532" w14:textId="3E1BF7E0" w:rsidR="00432A50" w:rsidRDefault="00432A50" w:rsidP="00D13542">
      <w:pPr>
        <w:jc w:val="center"/>
        <w:rPr>
          <w:lang w:val="sr-Cyrl-RS"/>
        </w:rPr>
      </w:pPr>
      <w:r>
        <w:rPr>
          <w:noProof/>
          <w:lang w:val="sr-Latn-RS" w:eastAsia="sr-Latn-RS"/>
        </w:rPr>
        <w:drawing>
          <wp:inline distT="0" distB="0" distL="0" distR="0" wp14:anchorId="3B265763" wp14:editId="0E9022F9">
            <wp:extent cx="5497195" cy="3211195"/>
            <wp:effectExtent l="0" t="0" r="8255" b="82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93664F" w14:textId="77777777" w:rsidR="00432A50" w:rsidRDefault="00432A50" w:rsidP="00D13542">
      <w:pPr>
        <w:pStyle w:val="Tekst-1"/>
      </w:pPr>
      <w:r>
        <w:t>Општина Блаце показује огромне разлике по питању образовне структуре мушкараца и жена. Можемо видети да је скоро 2.5 пута више жена без икаквог образовања у односу на мушкарце (чак 6 процентних поена више од мушкараца), а скоро је два пута више жена у односу на мушкарце са непуним основним образовањем. Уочљива је и значајна разлика између жена и мушкараца са средњим образовним нивоом. За скоро десет процентних поена имамо више мушкараца са средњим образовањем (</w:t>
      </w:r>
      <w:r>
        <w:rPr>
          <w:b/>
          <w:bCs/>
          <w:color w:val="0070C0"/>
        </w:rPr>
        <w:t>52.08%</w:t>
      </w:r>
      <w:r>
        <w:rPr>
          <w:color w:val="000000" w:themeColor="text1"/>
        </w:rPr>
        <w:t>) у односу на жене (</w:t>
      </w:r>
      <w:r>
        <w:rPr>
          <w:b/>
          <w:bCs/>
          <w:color w:val="C00000"/>
        </w:rPr>
        <w:t>42.31</w:t>
      </w:r>
      <w:r>
        <w:rPr>
          <w:color w:val="000000" w:themeColor="text1"/>
        </w:rPr>
        <w:t>).</w:t>
      </w:r>
    </w:p>
    <w:p w14:paraId="43E5C784" w14:textId="77777777" w:rsidR="00D13542" w:rsidRDefault="00D13542">
      <w:pPr>
        <w:rPr>
          <w:lang w:val="sr-Cyrl-RS"/>
        </w:rPr>
      </w:pPr>
      <w:r>
        <w:rPr>
          <w:lang w:val="sr-Cyrl-RS"/>
        </w:rPr>
        <w:br w:type="page"/>
      </w:r>
    </w:p>
    <w:p w14:paraId="7FC8A1B0" w14:textId="3135D43F" w:rsidR="00432A50" w:rsidRDefault="00D13542" w:rsidP="00D13542">
      <w:pPr>
        <w:pStyle w:val="a0"/>
      </w:pPr>
      <w:r>
        <w:lastRenderedPageBreak/>
        <w:t>График</w:t>
      </w:r>
      <w:r w:rsidR="00740096">
        <w:t>он 9.</w:t>
      </w:r>
      <w:r w:rsidR="00432A50">
        <w:t xml:space="preserve"> Упоредни приказ образовне структуре жена и мушкараца у Прокупљу</w:t>
      </w:r>
    </w:p>
    <w:p w14:paraId="4EEFD798" w14:textId="0E041BEC" w:rsidR="00432A50" w:rsidRDefault="00432A50" w:rsidP="00D13542">
      <w:pPr>
        <w:jc w:val="center"/>
        <w:rPr>
          <w:lang w:val="sr-Cyrl-RS"/>
        </w:rPr>
      </w:pPr>
      <w:r>
        <w:rPr>
          <w:noProof/>
          <w:lang w:val="sr-Latn-RS" w:eastAsia="sr-Latn-RS"/>
        </w:rPr>
        <w:drawing>
          <wp:inline distT="0" distB="0" distL="0" distR="0" wp14:anchorId="48F338BF" wp14:editId="07090F46">
            <wp:extent cx="5628793" cy="3050439"/>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2EC965" w14:textId="77777777" w:rsidR="00432A50" w:rsidRDefault="00432A50" w:rsidP="00D13542">
      <w:pPr>
        <w:pStyle w:val="Tekst-1"/>
      </w:pPr>
      <w:r>
        <w:t>Још ектремније разлике у образовној структури мушкараца и жена уочава се у Прокупљу. Видимо да је готово 6 пута више жена без икакве образовне спреме у односу на мушкарце у тој категорији (</w:t>
      </w:r>
      <w:r>
        <w:rPr>
          <w:b/>
          <w:bCs/>
          <w:color w:val="C00000"/>
        </w:rPr>
        <w:t>13.75%</w:t>
      </w:r>
      <w:r>
        <w:rPr>
          <w:color w:val="C00000"/>
        </w:rPr>
        <w:t xml:space="preserve"> </w:t>
      </w:r>
      <w:r>
        <w:t xml:space="preserve">наспрам </w:t>
      </w:r>
      <w:r>
        <w:rPr>
          <w:b/>
          <w:bCs/>
          <w:color w:val="0070C0"/>
        </w:rPr>
        <w:t>2.31%</w:t>
      </w:r>
      <w:r>
        <w:t>). Драстична разлика уочљива је у средњој стручној спреми мушкараца и жена у Прокупљу. У односу на проценат жена са средњом стручном спремом (</w:t>
      </w:r>
      <w:r>
        <w:rPr>
          <w:b/>
          <w:bCs/>
          <w:color w:val="C00000"/>
        </w:rPr>
        <w:t>39.85%</w:t>
      </w:r>
      <w:r>
        <w:t xml:space="preserve">), видимо да је прценат мушкараца у истој образовној категорији значајно већи (за више од 10 процентних поена – </w:t>
      </w:r>
      <w:r>
        <w:rPr>
          <w:b/>
          <w:bCs/>
          <w:color w:val="0070C0"/>
        </w:rPr>
        <w:t>50.19%</w:t>
      </w:r>
      <w:r>
        <w:t>)</w:t>
      </w:r>
    </w:p>
    <w:p w14:paraId="37F1061A" w14:textId="77777777" w:rsidR="00432A50" w:rsidRDefault="00432A50" w:rsidP="00D13542">
      <w:pPr>
        <w:pStyle w:val="Tekst-1"/>
      </w:pPr>
      <w:r>
        <w:t xml:space="preserve">Закључак: Положај мушкараца је у односу на положај жена на пољу образовне структуре вишеструко бољи. Анализа је показала да је значајно више необразованих и слабо-образованих жена у односу на образовне карактеристике мушкараца. </w:t>
      </w:r>
    </w:p>
    <w:p w14:paraId="3483E831" w14:textId="4412E005" w:rsidR="00432A50" w:rsidRDefault="00D13542" w:rsidP="00D13542">
      <w:pPr>
        <w:pStyle w:val="a0"/>
      </w:pPr>
      <w:r>
        <w:t>График</w:t>
      </w:r>
      <w:r w:rsidR="00740096">
        <w:t xml:space="preserve"> 10.</w:t>
      </w:r>
      <w:r w:rsidR="00432A50">
        <w:t xml:space="preserve"> Визуелни упоредни приказ мушкараца и жена без стручне спреме (Прокупље).</w:t>
      </w:r>
    </w:p>
    <w:p w14:paraId="436F63FC" w14:textId="4F277272" w:rsidR="00432A50" w:rsidRDefault="00432A50" w:rsidP="00D13542">
      <w:pPr>
        <w:jc w:val="center"/>
        <w:rPr>
          <w:lang w:val="sr-Cyrl-RS"/>
        </w:rPr>
      </w:pPr>
      <w:r>
        <w:rPr>
          <w:noProof/>
          <w:lang w:val="sr-Latn-RS" w:eastAsia="sr-Latn-RS"/>
        </w:rPr>
        <w:drawing>
          <wp:inline distT="0" distB="0" distL="0" distR="0" wp14:anchorId="35D4D1AD" wp14:editId="6EA5E57E">
            <wp:extent cx="4147718" cy="2377440"/>
            <wp:effectExtent l="0" t="0" r="5715" b="38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928574" w14:textId="77777777" w:rsidR="00345C32" w:rsidRDefault="00345C32">
      <w:pPr>
        <w:rPr>
          <w:rFonts w:cstheme="minorHAnsi"/>
          <w:i/>
          <w:iCs/>
          <w:sz w:val="24"/>
          <w:szCs w:val="28"/>
          <w:bdr w:val="none" w:sz="0" w:space="0" w:color="auto" w:frame="1"/>
          <w:lang w:val="sr-Cyrl-RS"/>
        </w:rPr>
      </w:pPr>
      <w:r>
        <w:br w:type="page"/>
      </w:r>
    </w:p>
    <w:p w14:paraId="0D07983E" w14:textId="5546C82D" w:rsidR="00432A50" w:rsidRDefault="00D13542" w:rsidP="00D13542">
      <w:pPr>
        <w:pStyle w:val="a0"/>
      </w:pPr>
      <w:r>
        <w:lastRenderedPageBreak/>
        <w:t>График</w:t>
      </w:r>
      <w:r w:rsidR="00223B61">
        <w:t xml:space="preserve"> 11.</w:t>
      </w:r>
      <w:r w:rsidR="00432A50">
        <w:t xml:space="preserve"> Визуелни упоредни приказ мушкараца и жена са завршеном средњом школом (Прокупље)</w:t>
      </w:r>
    </w:p>
    <w:p w14:paraId="77683133" w14:textId="4260C462" w:rsidR="00432A50" w:rsidRDefault="00432A50" w:rsidP="00345C32">
      <w:pPr>
        <w:jc w:val="center"/>
        <w:rPr>
          <w:lang w:val="sr-Cyrl-RS"/>
        </w:rPr>
      </w:pPr>
      <w:r>
        <w:rPr>
          <w:noProof/>
          <w:lang w:val="sr-Latn-RS" w:eastAsia="sr-Latn-RS"/>
        </w:rPr>
        <w:drawing>
          <wp:inline distT="0" distB="0" distL="0" distR="0" wp14:anchorId="407CAEF7" wp14:editId="0EFA443A">
            <wp:extent cx="5259070" cy="2143354"/>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A0F4B9" w14:textId="0F08D091" w:rsidR="00FA741E" w:rsidRDefault="00FA741E" w:rsidP="005C417A">
      <w:pPr>
        <w:pStyle w:val="-3"/>
      </w:pPr>
      <w:bookmarkStart w:id="12" w:name="_Toc55208026"/>
      <w:r>
        <w:t>Култура и културна баштина</w:t>
      </w:r>
      <w:bookmarkEnd w:id="12"/>
    </w:p>
    <w:p w14:paraId="7AAD7055" w14:textId="283D932A" w:rsidR="00FA741E" w:rsidRPr="00FA741E" w:rsidRDefault="00FA741E" w:rsidP="00FA741E">
      <w:pPr>
        <w:pStyle w:val="Tekst-1"/>
      </w:pPr>
      <w:r>
        <w:t xml:space="preserve">Као носиоци културних и уметничких манифестација на подручју ЛАГ Јастребчанка издвајају се </w:t>
      </w:r>
      <w:r w:rsidRPr="00FA741E">
        <w:t xml:space="preserve">следеће културне установе и институције: Дом културе ,,Радивој Увалић Бата”, Народна библиотека ,,Раде Драинац”, Народни музеј Топлице, Историјски архив „Топлице“, Културно-образовни центар, Црквени хор Светог Прокопија, Гимназијски позоришни студио, Драмска секција ОШ ,,Ратко Павловић Ћићко'', Дечија ликовна колонија ,,Сунце'', Културно уметничко друштво ,,Светислав Мирковић Ненад” из Мале Плане, Удружење ликовних уметника Топлице, Књижевна омладина Прокупља, КУД „Топлица“, </w:t>
      </w:r>
      <w:r>
        <w:t xml:space="preserve">Културни центар „Раде Драинац“ Блаце, </w:t>
      </w:r>
      <w:r w:rsidRPr="00FA741E">
        <w:t>а повремено културне манифестације организују и удружења грађана.</w:t>
      </w:r>
    </w:p>
    <w:p w14:paraId="2DF02CA6" w14:textId="3DBCDC62" w:rsidR="00000141" w:rsidRDefault="00FA741E" w:rsidP="00000141">
      <w:pPr>
        <w:pStyle w:val="Tekst-1"/>
        <w:rPr>
          <w:sz w:val="23"/>
          <w:szCs w:val="23"/>
        </w:rPr>
      </w:pPr>
      <w:r w:rsidRPr="00FA741E">
        <w:rPr>
          <w:b/>
          <w:bCs/>
        </w:rPr>
        <w:t>Дом културе „Радивој Увалић Бата“</w:t>
      </w:r>
      <w:r w:rsidRPr="00FA741E">
        <w:t xml:space="preserve"> </w:t>
      </w:r>
      <w:r>
        <w:t>– о</w:t>
      </w:r>
      <w:r w:rsidRPr="00FA741E">
        <w:t>д свог настанка 1975. до данас више пута је мењао правни статус. Као самостална установа културе делује од 1992. године после доношења Акта о оснивању од стране Скупштине општине.</w:t>
      </w:r>
      <w:r>
        <w:t xml:space="preserve"> </w:t>
      </w:r>
      <w:r w:rsidRPr="00FA741E">
        <w:t>У оквиру установе активно раде Аматерско позориште „Хранислав Драгутиновић“, Културно уметничко друштво „Абрашевић“, Књижевно друштво „Раде Драинац“,</w:t>
      </w:r>
      <w:r>
        <w:t xml:space="preserve"> </w:t>
      </w:r>
      <w:r w:rsidRPr="00FA741E">
        <w:t>Секција ликовних стваралаца и Дечији хор „Сањалице“. У оквиру Дома културе постоји и Биоскоп чија је делатност из техничких разлога отежана.</w:t>
      </w:r>
      <w:r>
        <w:t xml:space="preserve"> Овај </w:t>
      </w:r>
      <w:r w:rsidRPr="00FA741E">
        <w:t>Дом културе припада такозваним поливалентним културним институцијама и у основи је базиран на афирмацији културног аматеризма у најширем смислу. Упркос лошим материјалним условима, недовољној опремљености како у погледу простора и опреме тако и у погледу већег броја стручно оспособљених професионалних кадрова (режисери, сценаристи, драматурзи, кореографи, костимографи и слично), Дом културе настоји да својим капацитетима подржи стваралаштво у разним областима било да је реч о појединцима или организацијама. Материјална средства која установа добија из буџета општине нису довољна да подмире потребе реализације програмских планова а недостатак средстава надоканђује се делимично од сопствених прихода и донатора. Дом културе има развијену сара</w:t>
      </w:r>
      <w:r>
        <w:t>д</w:t>
      </w:r>
      <w:r w:rsidRPr="00FA741E">
        <w:t>њу са осталим установама културе у граду као и сличним установама у земљи а неколико година уназад интензивно се ради на успостављању сарадње са сличним институцијама и у иностранству.</w:t>
      </w:r>
      <w:r>
        <w:t xml:space="preserve"> </w:t>
      </w:r>
      <w:r w:rsidRPr="00FA741E">
        <w:rPr>
          <w:color w:val="000000"/>
          <w:sz w:val="23"/>
          <w:szCs w:val="23"/>
        </w:rPr>
        <w:t>Програми и већина активности Дома културе изводе се у реновираној згради капацитета 230 места. У њој се одвијају и друге врсте програма чији су организатори разне организације (школе, хуманитарне организације, удружења, политичке странке и друго).</w:t>
      </w:r>
      <w:r>
        <w:rPr>
          <w:color w:val="000000"/>
          <w:sz w:val="23"/>
          <w:szCs w:val="23"/>
        </w:rPr>
        <w:t xml:space="preserve"> И п</w:t>
      </w:r>
      <w:r w:rsidRPr="00FA741E">
        <w:rPr>
          <w:sz w:val="23"/>
          <w:szCs w:val="23"/>
        </w:rPr>
        <w:t>оред тога што је сала реновирана и функционалмно опремљена, њени капацитети нису довољни за одржавање градских културних манифестација.</w:t>
      </w:r>
    </w:p>
    <w:p w14:paraId="115F63E9" w14:textId="64D79828" w:rsidR="004754FA" w:rsidRDefault="004754FA" w:rsidP="004754FA">
      <w:pPr>
        <w:pStyle w:val="Tekst-1"/>
        <w:rPr>
          <w:sz w:val="23"/>
          <w:szCs w:val="23"/>
          <w:lang w:val="sr-Latn-RS"/>
        </w:rPr>
      </w:pPr>
      <w:r w:rsidRPr="004754FA">
        <w:rPr>
          <w:b/>
          <w:bCs/>
          <w:sz w:val="23"/>
          <w:szCs w:val="23"/>
        </w:rPr>
        <w:lastRenderedPageBreak/>
        <w:t>Културни центар Драинац Блаце</w:t>
      </w:r>
      <w:r>
        <w:rPr>
          <w:sz w:val="23"/>
          <w:szCs w:val="23"/>
        </w:rPr>
        <w:t xml:space="preserve"> - </w:t>
      </w:r>
      <w:r w:rsidRPr="004754FA">
        <w:rPr>
          <w:sz w:val="23"/>
          <w:szCs w:val="23"/>
        </w:rPr>
        <w:t>Носилац културних и уметничких манифестација у општини Блаце је Културни центар "Драинац", чији је оснивач Скупштина општине Блаце.</w:t>
      </w:r>
      <w:r>
        <w:rPr>
          <w:sz w:val="23"/>
          <w:szCs w:val="23"/>
        </w:rPr>
        <w:t xml:space="preserve"> </w:t>
      </w:r>
      <w:r w:rsidRPr="004754FA">
        <w:rPr>
          <w:sz w:val="23"/>
          <w:szCs w:val="23"/>
        </w:rPr>
        <w:t>Као установа културе, основан је 1961. године, одлуком Скупштине општине Блаце и добио име "Раде Драинац". До тада су као самосталне институције постојале: библиотека, биоскоп "Јастребац" и аматерско културно уметничко друштво. Оснивањем Дома културе обједињен је рад свих ових до тада самосталних институција.</w:t>
      </w:r>
      <w:r>
        <w:rPr>
          <w:sz w:val="23"/>
          <w:szCs w:val="23"/>
        </w:rPr>
        <w:t xml:space="preserve"> </w:t>
      </w:r>
      <w:r w:rsidRPr="004754FA">
        <w:rPr>
          <w:sz w:val="23"/>
          <w:szCs w:val="23"/>
        </w:rPr>
        <w:t>Културни центар поседује веома значајан инфраструктурни објекат  на коме би му позавидели и већи градови Србије.</w:t>
      </w:r>
      <w:r>
        <w:rPr>
          <w:sz w:val="23"/>
          <w:szCs w:val="23"/>
        </w:rPr>
        <w:t xml:space="preserve"> </w:t>
      </w:r>
      <w:r w:rsidRPr="004754FA">
        <w:rPr>
          <w:sz w:val="23"/>
          <w:szCs w:val="23"/>
        </w:rPr>
        <w:t>У склопу Културног центра је мултифункционална (биоскопска, позоришна) сала са око 500 седишта, са партером, балконом и пространом бином.</w:t>
      </w:r>
      <w:r>
        <w:rPr>
          <w:sz w:val="23"/>
          <w:szCs w:val="23"/>
        </w:rPr>
        <w:t xml:space="preserve"> </w:t>
      </w:r>
      <w:r w:rsidRPr="004754FA">
        <w:rPr>
          <w:sz w:val="23"/>
          <w:szCs w:val="23"/>
        </w:rPr>
        <w:t xml:space="preserve">Као кровна институција културе Културни центар „Драинац“ има важну улогу у мењању духа мале </w:t>
      </w:r>
      <w:r>
        <w:rPr>
          <w:sz w:val="23"/>
          <w:szCs w:val="23"/>
        </w:rPr>
        <w:t>б</w:t>
      </w:r>
      <w:r w:rsidRPr="004754FA">
        <w:rPr>
          <w:sz w:val="23"/>
          <w:szCs w:val="23"/>
        </w:rPr>
        <w:t>лачке вароши.</w:t>
      </w:r>
    </w:p>
    <w:p w14:paraId="4758A825" w14:textId="77777777" w:rsidR="00000141" w:rsidRDefault="00FA741E" w:rsidP="00000141">
      <w:pPr>
        <w:pStyle w:val="Tekst-1"/>
        <w:rPr>
          <w:sz w:val="23"/>
          <w:szCs w:val="23"/>
        </w:rPr>
      </w:pPr>
      <w:r w:rsidRPr="00FA741E">
        <w:rPr>
          <w:b/>
          <w:bCs/>
          <w:sz w:val="23"/>
          <w:szCs w:val="23"/>
        </w:rPr>
        <w:t xml:space="preserve">Народна библиотека „Раде Драинац“ </w:t>
      </w:r>
      <w:r w:rsidRPr="00FA741E">
        <w:rPr>
          <w:sz w:val="23"/>
          <w:szCs w:val="23"/>
        </w:rPr>
        <w:t xml:space="preserve">је једна од најстаријих установа </w:t>
      </w:r>
      <w:r w:rsidR="00000141">
        <w:rPr>
          <w:sz w:val="23"/>
          <w:szCs w:val="23"/>
        </w:rPr>
        <w:t>у</w:t>
      </w:r>
      <w:r w:rsidRPr="00FA741E">
        <w:rPr>
          <w:sz w:val="23"/>
          <w:szCs w:val="23"/>
        </w:rPr>
        <w:t xml:space="preserve"> Топлици, баштини традицију библиотекарства Грађанске читаонице из 1909. Од 1973. у оквиру библиотеке самостално постоји Дечије одељење и издвојени пунктови у Житном Потоку и Малој Плани. Књижни фонд има око 71.500 књига од којих се 25.000 налази на Дечијем одељењу.</w:t>
      </w:r>
      <w:r w:rsidR="00000141">
        <w:rPr>
          <w:sz w:val="23"/>
          <w:szCs w:val="23"/>
        </w:rPr>
        <w:t xml:space="preserve"> </w:t>
      </w:r>
      <w:r w:rsidRPr="00FA741E">
        <w:rPr>
          <w:sz w:val="23"/>
          <w:szCs w:val="23"/>
        </w:rPr>
        <w:t xml:space="preserve">Библиотека је суочена са великим недостатком простора: од свих матичних библиотека у Републици Србији има најмањи простор, свега 27% од стандардом прописаног простора за библиотеку овог типа. Део фонда и периодика су у неусловном простору "депоа" односно гаражи и изложени су неповољним условима, тако да су склони пропадању. Такође, библиотека није у могућности да оснује Законом прописана одељења: периодике и стручне књиге. </w:t>
      </w:r>
    </w:p>
    <w:p w14:paraId="2EA20DF7" w14:textId="77777777" w:rsidR="00000141" w:rsidRDefault="00FA741E" w:rsidP="00000141">
      <w:pPr>
        <w:pStyle w:val="Tekst-1"/>
        <w:rPr>
          <w:sz w:val="23"/>
          <w:szCs w:val="23"/>
        </w:rPr>
      </w:pPr>
      <w:r w:rsidRPr="00FA741E">
        <w:rPr>
          <w:b/>
          <w:bCs/>
          <w:sz w:val="23"/>
          <w:szCs w:val="23"/>
        </w:rPr>
        <w:t xml:space="preserve">Народни музеј Топлице </w:t>
      </w:r>
      <w:r w:rsidRPr="00FA741E">
        <w:rPr>
          <w:sz w:val="23"/>
          <w:szCs w:val="23"/>
        </w:rPr>
        <w:t>је основан 1948. и налази се у згради старе поште која је под заштитом државе-споменик културе од 1960. године. У саставу Музеја налази се и галерија „Божа Илић“ која се налази у старој згради, кући Максимовића. Музеј поседује Археолошку збирку, поставку Топлички устанак 1917. године, Поставку НОБ-а, адаптирану Градску собу и Етнолошку збирку. Музеј је организатор ликовне колоније "Меморијал Божа Илић". Зграда Музеја захтева рестаурациј</w:t>
      </w:r>
      <w:r w:rsidR="00000141">
        <w:rPr>
          <w:sz w:val="23"/>
          <w:szCs w:val="23"/>
        </w:rPr>
        <w:t>у</w:t>
      </w:r>
      <w:r w:rsidRPr="00FA741E">
        <w:rPr>
          <w:sz w:val="23"/>
          <w:szCs w:val="23"/>
        </w:rPr>
        <w:t xml:space="preserve">, а Музеју недостаје депо. Изложбени простор </w:t>
      </w:r>
      <w:r w:rsidR="00000141">
        <w:rPr>
          <w:sz w:val="23"/>
          <w:szCs w:val="23"/>
        </w:rPr>
        <w:t xml:space="preserve">у </w:t>
      </w:r>
      <w:r w:rsidRPr="00FA741E">
        <w:rPr>
          <w:sz w:val="23"/>
          <w:szCs w:val="23"/>
        </w:rPr>
        <w:t>зим</w:t>
      </w:r>
      <w:r w:rsidR="00000141">
        <w:rPr>
          <w:sz w:val="23"/>
          <w:szCs w:val="23"/>
        </w:rPr>
        <w:t>ском периоду</w:t>
      </w:r>
      <w:r w:rsidRPr="00FA741E">
        <w:rPr>
          <w:sz w:val="23"/>
          <w:szCs w:val="23"/>
        </w:rPr>
        <w:t xml:space="preserve"> </w:t>
      </w:r>
      <w:r w:rsidR="00000141">
        <w:rPr>
          <w:sz w:val="23"/>
          <w:szCs w:val="23"/>
        </w:rPr>
        <w:t>ни</w:t>
      </w:r>
      <w:r w:rsidRPr="00FA741E">
        <w:rPr>
          <w:sz w:val="23"/>
          <w:szCs w:val="23"/>
        </w:rPr>
        <w:t>је недовољно искоришћен. Музејска делатност је законом уређена тако да су све области обухваћене одговарајућим кадровима и кустосима.</w:t>
      </w:r>
    </w:p>
    <w:p w14:paraId="5D0E5555" w14:textId="77777777" w:rsidR="00000141" w:rsidRDefault="00FA741E" w:rsidP="00000141">
      <w:pPr>
        <w:pStyle w:val="Tekst-1"/>
        <w:rPr>
          <w:sz w:val="23"/>
          <w:szCs w:val="23"/>
        </w:rPr>
      </w:pPr>
      <w:r w:rsidRPr="00FA741E">
        <w:rPr>
          <w:b/>
          <w:bCs/>
          <w:sz w:val="23"/>
          <w:szCs w:val="23"/>
        </w:rPr>
        <w:t xml:space="preserve">Историјски архив „Топлице“ </w:t>
      </w:r>
      <w:r w:rsidR="00000141">
        <w:rPr>
          <w:b/>
          <w:bCs/>
          <w:sz w:val="23"/>
          <w:szCs w:val="23"/>
        </w:rPr>
        <w:t xml:space="preserve">– </w:t>
      </w:r>
      <w:r w:rsidRPr="00FA741E">
        <w:rPr>
          <w:sz w:val="23"/>
          <w:szCs w:val="23"/>
        </w:rPr>
        <w:t xml:space="preserve">се </w:t>
      </w:r>
      <w:r w:rsidR="00000141">
        <w:rPr>
          <w:sz w:val="23"/>
          <w:szCs w:val="23"/>
        </w:rPr>
        <w:t xml:space="preserve">први пут помиње </w:t>
      </w:r>
      <w:r w:rsidRPr="00FA741E">
        <w:rPr>
          <w:sz w:val="23"/>
          <w:szCs w:val="23"/>
        </w:rPr>
        <w:t>као Архивско средиште од 1948. до 1951. године Наредбом о привременом осигурању архива, Министарства просвете НР Србије; Архивски центар Прокупље – Одлуком о оснивању Историјског архива среза Ниш из 1960. године, 1967. мења назив у Архивско оделење; од 1989. до 2006. године Архивско оделење у СО Прокупље са пословима повереним за пет општина топличког округа Прокупље, Куршумлија, Блаце, Житорађа и Мерошина (Општина Мерошина 1992. године излази из Топличког округа и припаја се Граду Нишу.)</w:t>
      </w:r>
      <w:r w:rsidR="00000141">
        <w:rPr>
          <w:sz w:val="23"/>
          <w:szCs w:val="23"/>
        </w:rPr>
        <w:t xml:space="preserve"> </w:t>
      </w:r>
      <w:r w:rsidRPr="00FA741E">
        <w:rPr>
          <w:sz w:val="23"/>
          <w:szCs w:val="23"/>
        </w:rPr>
        <w:t>Архив обавља делатност заштите културних добара у склопу архивске мреже Србије.</w:t>
      </w:r>
      <w:r w:rsidR="00000141">
        <w:rPr>
          <w:sz w:val="23"/>
          <w:szCs w:val="23"/>
        </w:rPr>
        <w:t xml:space="preserve"> </w:t>
      </w:r>
      <w:r w:rsidRPr="00FA741E">
        <w:rPr>
          <w:sz w:val="23"/>
          <w:szCs w:val="23"/>
        </w:rPr>
        <w:t>Историјски архив „Топлице“ Прокупље у формално правном облику какав је данас, основан је 2006. године Одлуком Скупштине општине Прокупље. Територијална надлежност архива су Град Прокупље и општине Куршумлија, Блаце и Житорађа. Током 2011. године Арив добија зграду у којој се сада налази на трајно коришћење од Министарства културе а одлуком владе Србије.</w:t>
      </w:r>
    </w:p>
    <w:p w14:paraId="3630DF85" w14:textId="77777777" w:rsidR="00000141" w:rsidRDefault="00FA741E" w:rsidP="00000141">
      <w:pPr>
        <w:pStyle w:val="Tekst-1"/>
        <w:rPr>
          <w:sz w:val="23"/>
          <w:szCs w:val="23"/>
        </w:rPr>
      </w:pPr>
      <w:r w:rsidRPr="00FA741E">
        <w:rPr>
          <w:b/>
          <w:bCs/>
          <w:sz w:val="23"/>
          <w:szCs w:val="23"/>
        </w:rPr>
        <w:t xml:space="preserve">Црквени хор Светог Прокопија </w:t>
      </w:r>
      <w:r w:rsidRPr="00FA741E">
        <w:rPr>
          <w:sz w:val="23"/>
          <w:szCs w:val="23"/>
        </w:rPr>
        <w:t xml:space="preserve">(основан је 1997. године, анимира 50 чланова) и </w:t>
      </w:r>
      <w:r w:rsidRPr="00FA741E">
        <w:rPr>
          <w:b/>
          <w:bCs/>
          <w:sz w:val="23"/>
          <w:szCs w:val="23"/>
        </w:rPr>
        <w:t xml:space="preserve">КУД „Светислав Мирковић Ненад“ </w:t>
      </w:r>
      <w:r w:rsidRPr="00FA741E">
        <w:rPr>
          <w:sz w:val="23"/>
          <w:szCs w:val="23"/>
        </w:rPr>
        <w:t>из Мале Плане активно учествују у културном животу.</w:t>
      </w:r>
    </w:p>
    <w:p w14:paraId="5D3B0079" w14:textId="2997C59E" w:rsidR="00FA741E" w:rsidRDefault="00FA741E" w:rsidP="00000141">
      <w:pPr>
        <w:pStyle w:val="Tekst-1"/>
        <w:rPr>
          <w:sz w:val="23"/>
          <w:szCs w:val="23"/>
        </w:rPr>
      </w:pPr>
      <w:r w:rsidRPr="00FA741E">
        <w:rPr>
          <w:b/>
          <w:bCs/>
          <w:sz w:val="23"/>
          <w:szCs w:val="23"/>
        </w:rPr>
        <w:t xml:space="preserve">Најважније </w:t>
      </w:r>
      <w:r w:rsidR="00000141">
        <w:rPr>
          <w:b/>
          <w:bCs/>
          <w:sz w:val="23"/>
          <w:szCs w:val="23"/>
        </w:rPr>
        <w:t xml:space="preserve">културне </w:t>
      </w:r>
      <w:r w:rsidRPr="00FA741E">
        <w:rPr>
          <w:b/>
          <w:bCs/>
          <w:sz w:val="23"/>
          <w:szCs w:val="23"/>
        </w:rPr>
        <w:t xml:space="preserve">манифестације </w:t>
      </w:r>
      <w:r w:rsidR="00000141">
        <w:rPr>
          <w:sz w:val="23"/>
          <w:szCs w:val="23"/>
        </w:rPr>
        <w:t xml:space="preserve">на подручју ЛАГ </w:t>
      </w:r>
      <w:r w:rsidRPr="00FA741E">
        <w:rPr>
          <w:sz w:val="23"/>
          <w:szCs w:val="23"/>
        </w:rPr>
        <w:t>су:</w:t>
      </w:r>
    </w:p>
    <w:p w14:paraId="62CF839F" w14:textId="6236767B" w:rsidR="008C6ED9" w:rsidRDefault="008C6ED9" w:rsidP="00E20679">
      <w:pPr>
        <w:pStyle w:val="Tekst-1"/>
        <w:numPr>
          <w:ilvl w:val="0"/>
          <w:numId w:val="6"/>
        </w:numPr>
        <w:spacing w:before="0" w:after="0"/>
        <w:ind w:left="924" w:hanging="357"/>
      </w:pPr>
      <w:r>
        <w:t>Сајам рукотворина (Блаце – јануар)</w:t>
      </w:r>
    </w:p>
    <w:p w14:paraId="1C863275" w14:textId="7B580CB1" w:rsidR="008C6ED9" w:rsidRDefault="008C6ED9" w:rsidP="00E20679">
      <w:pPr>
        <w:pStyle w:val="Tekst-1"/>
        <w:numPr>
          <w:ilvl w:val="0"/>
          <w:numId w:val="6"/>
        </w:numPr>
        <w:spacing w:before="0" w:after="0"/>
        <w:ind w:left="924" w:hanging="357"/>
      </w:pPr>
      <w:r>
        <w:t>Вуку у походе (Блаце – јануар)</w:t>
      </w:r>
    </w:p>
    <w:p w14:paraId="7BEBD7B6" w14:textId="345A377F" w:rsidR="008C6ED9" w:rsidRDefault="008C6ED9" w:rsidP="00E20679">
      <w:pPr>
        <w:pStyle w:val="Tekst-1"/>
        <w:numPr>
          <w:ilvl w:val="0"/>
          <w:numId w:val="6"/>
        </w:numPr>
        <w:spacing w:before="0" w:after="0"/>
        <w:ind w:left="924" w:hanging="357"/>
      </w:pPr>
      <w:r>
        <w:t>Светосавски бал (Блаце – јануар)</w:t>
      </w:r>
    </w:p>
    <w:p w14:paraId="6CAC1660" w14:textId="35AC3D19" w:rsidR="008C6ED9" w:rsidRDefault="008C6ED9" w:rsidP="00E20679">
      <w:pPr>
        <w:pStyle w:val="Tekst-1"/>
        <w:numPr>
          <w:ilvl w:val="0"/>
          <w:numId w:val="6"/>
        </w:numPr>
        <w:spacing w:before="0" w:after="0"/>
        <w:ind w:left="924" w:hanging="357"/>
      </w:pPr>
      <w:r w:rsidRPr="00FA741E">
        <w:lastRenderedPageBreak/>
        <w:t>Сретењски сусрети песника (</w:t>
      </w:r>
      <w:r>
        <w:t xml:space="preserve">Прокупље – </w:t>
      </w:r>
      <w:r w:rsidRPr="00FA741E">
        <w:t>фебруар)</w:t>
      </w:r>
    </w:p>
    <w:p w14:paraId="3590DD7A" w14:textId="0248C27C" w:rsidR="008C6ED9" w:rsidRPr="00FA741E" w:rsidRDefault="008C6ED9" w:rsidP="00E20679">
      <w:pPr>
        <w:pStyle w:val="Tekst-1"/>
        <w:numPr>
          <w:ilvl w:val="0"/>
          <w:numId w:val="6"/>
        </w:numPr>
        <w:spacing w:before="0" w:after="0"/>
        <w:ind w:left="924" w:hanging="357"/>
      </w:pPr>
      <w:r w:rsidRPr="00FA741E">
        <w:t>Фестивал дечијег стваралаштва ФЕДЕС</w:t>
      </w:r>
      <w:r>
        <w:t xml:space="preserve"> </w:t>
      </w:r>
      <w:r w:rsidRPr="00FA741E">
        <w:t>(</w:t>
      </w:r>
      <w:r>
        <w:t xml:space="preserve">Прокупље – </w:t>
      </w:r>
      <w:r w:rsidRPr="00FA741E">
        <w:t>фебруар)</w:t>
      </w:r>
    </w:p>
    <w:p w14:paraId="0FCCE798" w14:textId="5B6E5602" w:rsidR="008C6ED9" w:rsidRDefault="008C6ED9" w:rsidP="00E20679">
      <w:pPr>
        <w:pStyle w:val="Tekst-1"/>
        <w:numPr>
          <w:ilvl w:val="0"/>
          <w:numId w:val="6"/>
        </w:numPr>
        <w:spacing w:before="0" w:after="0"/>
        <w:ind w:left="924" w:hanging="357"/>
      </w:pPr>
      <w:r>
        <w:t>Међународни ускршњи фестивал фолклора (Блаце – април)</w:t>
      </w:r>
    </w:p>
    <w:p w14:paraId="32E66458" w14:textId="52FB0C55" w:rsidR="008C6ED9" w:rsidRDefault="008C6ED9" w:rsidP="00E20679">
      <w:pPr>
        <w:pStyle w:val="Tekst-1"/>
        <w:numPr>
          <w:ilvl w:val="0"/>
          <w:numId w:val="6"/>
        </w:numPr>
        <w:spacing w:before="0" w:after="0"/>
        <w:ind w:left="924" w:hanging="357"/>
      </w:pPr>
      <w:r w:rsidRPr="00FA741E">
        <w:t>Ђурђевдански књижевни конкурс</w:t>
      </w:r>
      <w:r>
        <w:t xml:space="preserve"> </w:t>
      </w:r>
      <w:r w:rsidRPr="00FA741E">
        <w:t>(</w:t>
      </w:r>
      <w:r>
        <w:t xml:space="preserve">Прокупље – </w:t>
      </w:r>
      <w:r w:rsidRPr="00FA741E">
        <w:t>април</w:t>
      </w:r>
      <w:r>
        <w:t>/</w:t>
      </w:r>
      <w:r w:rsidRPr="00FA741E">
        <w:t>мај)</w:t>
      </w:r>
    </w:p>
    <w:p w14:paraId="3137AAF6" w14:textId="77777777" w:rsidR="008C6ED9" w:rsidRPr="00FA741E" w:rsidRDefault="008C6ED9" w:rsidP="00E20679">
      <w:pPr>
        <w:pStyle w:val="Tekst-1"/>
        <w:numPr>
          <w:ilvl w:val="0"/>
          <w:numId w:val="6"/>
        </w:numPr>
        <w:spacing w:before="0" w:after="0"/>
        <w:ind w:left="924" w:hanging="357"/>
      </w:pPr>
      <w:r w:rsidRPr="00FA741E">
        <w:t>Међународни књижевни ,,Драинчеви сусрети“ (мај)</w:t>
      </w:r>
    </w:p>
    <w:p w14:paraId="033ECBE7" w14:textId="77777777" w:rsidR="008C6ED9" w:rsidRDefault="008C6ED9" w:rsidP="00E20679">
      <w:pPr>
        <w:pStyle w:val="Tekst-1"/>
        <w:numPr>
          <w:ilvl w:val="0"/>
          <w:numId w:val="6"/>
        </w:numPr>
        <w:spacing w:before="0" w:after="0"/>
        <w:ind w:left="924" w:hanging="357"/>
      </w:pPr>
      <w:r>
        <w:t>Ликовна колонија (Блаце – јун)</w:t>
      </w:r>
    </w:p>
    <w:p w14:paraId="6945496B" w14:textId="29D82627" w:rsidR="008C6ED9" w:rsidRDefault="008C6ED9" w:rsidP="00E20679">
      <w:pPr>
        <w:pStyle w:val="Tekst-1"/>
        <w:numPr>
          <w:ilvl w:val="0"/>
          <w:numId w:val="6"/>
        </w:numPr>
        <w:spacing w:before="0" w:after="0"/>
        <w:ind w:left="924" w:hanging="357"/>
      </w:pPr>
      <w:r w:rsidRPr="00FA741E">
        <w:t>Сајамско-туристичка манифестација ,,Сабор вишњара – Дани вишње“ (</w:t>
      </w:r>
      <w:r>
        <w:t xml:space="preserve">Велика Плана, Прокупље – </w:t>
      </w:r>
      <w:r w:rsidRPr="00FA741E">
        <w:t>јун</w:t>
      </w:r>
      <w:r>
        <w:t>)</w:t>
      </w:r>
    </w:p>
    <w:p w14:paraId="0A49D40B" w14:textId="77777777" w:rsidR="008C6ED9" w:rsidRPr="00FA741E" w:rsidRDefault="008C6ED9" w:rsidP="00E20679">
      <w:pPr>
        <w:pStyle w:val="Tekst-1"/>
        <w:numPr>
          <w:ilvl w:val="0"/>
          <w:numId w:val="6"/>
        </w:numPr>
        <w:spacing w:before="0" w:after="0"/>
        <w:ind w:left="924" w:hanging="357"/>
      </w:pPr>
      <w:r w:rsidRPr="00000141">
        <w:t>Прослава</w:t>
      </w:r>
      <w:r w:rsidRPr="00FA741E">
        <w:t xml:space="preserve"> градске славе </w:t>
      </w:r>
      <w:r>
        <w:t xml:space="preserve">Прокупља </w:t>
      </w:r>
      <w:r w:rsidRPr="00FA741E">
        <w:t>– дана Светог Прокопија, бројним спортским такмичењима и културним дешавањима (јул)</w:t>
      </w:r>
    </w:p>
    <w:p w14:paraId="46D0D6BF" w14:textId="7C41C9D9" w:rsidR="008C6ED9" w:rsidRDefault="008C6ED9" w:rsidP="00E20679">
      <w:pPr>
        <w:pStyle w:val="Tekst-1"/>
        <w:numPr>
          <w:ilvl w:val="0"/>
          <w:numId w:val="6"/>
        </w:numPr>
        <w:spacing w:before="0" w:after="0"/>
        <w:ind w:left="924" w:hanging="357"/>
      </w:pPr>
      <w:r>
        <w:t>Културно лето (Блаце – јул)</w:t>
      </w:r>
    </w:p>
    <w:p w14:paraId="54DA0795" w14:textId="335CC6C2" w:rsidR="008C6ED9" w:rsidRDefault="008C6ED9" w:rsidP="00E20679">
      <w:pPr>
        <w:pStyle w:val="Tekst-1"/>
        <w:numPr>
          <w:ilvl w:val="0"/>
          <w:numId w:val="6"/>
        </w:numPr>
        <w:spacing w:before="0" w:after="0"/>
        <w:ind w:left="924" w:hanging="357"/>
      </w:pPr>
      <w:r w:rsidRPr="00FA741E">
        <w:t>Међународна дечја ликовна колонија ,,Сунце'' (</w:t>
      </w:r>
      <w:r>
        <w:t xml:space="preserve">Прокупље – </w:t>
      </w:r>
      <w:r w:rsidRPr="00FA741E">
        <w:t>јул)</w:t>
      </w:r>
    </w:p>
    <w:p w14:paraId="3BC0855C" w14:textId="10E84629" w:rsidR="008C6ED9" w:rsidRDefault="008C6ED9" w:rsidP="00E20679">
      <w:pPr>
        <w:pStyle w:val="Tekst-1"/>
        <w:numPr>
          <w:ilvl w:val="0"/>
          <w:numId w:val="6"/>
        </w:numPr>
        <w:spacing w:before="0" w:after="0"/>
        <w:ind w:left="924" w:hanging="357"/>
      </w:pPr>
      <w:r w:rsidRPr="00FA741E">
        <w:t xml:space="preserve">„Ивањдањска ликовна колонија“ </w:t>
      </w:r>
      <w:r>
        <w:t>(</w:t>
      </w:r>
      <w:r w:rsidRPr="00FA741E">
        <w:t>Ајданов</w:t>
      </w:r>
      <w:r>
        <w:t xml:space="preserve">ац, Прокупље – </w:t>
      </w:r>
      <w:r w:rsidRPr="00FA741E">
        <w:t>јул)</w:t>
      </w:r>
    </w:p>
    <w:p w14:paraId="377B2E6B" w14:textId="260AEE4A" w:rsidR="008C6ED9" w:rsidRDefault="008C6ED9" w:rsidP="00E20679">
      <w:pPr>
        <w:pStyle w:val="Tekst-1"/>
        <w:numPr>
          <w:ilvl w:val="0"/>
          <w:numId w:val="6"/>
        </w:numPr>
        <w:spacing w:before="0" w:after="0"/>
        <w:ind w:left="924" w:hanging="357"/>
      </w:pPr>
      <w:r w:rsidRPr="00FA741E">
        <w:t>Beer fest – фестивал пива, уз тродневни музички програм (</w:t>
      </w:r>
      <w:r w:rsidR="003162BD">
        <w:t xml:space="preserve">Прокупље – </w:t>
      </w:r>
      <w:r w:rsidRPr="00FA741E">
        <w:t xml:space="preserve">јул) </w:t>
      </w:r>
    </w:p>
    <w:p w14:paraId="68DC09F9" w14:textId="6D9679AD" w:rsidR="008C6ED9" w:rsidRDefault="008C6ED9" w:rsidP="00E20679">
      <w:pPr>
        <w:pStyle w:val="Tekst-1"/>
        <w:numPr>
          <w:ilvl w:val="0"/>
          <w:numId w:val="6"/>
        </w:numPr>
        <w:spacing w:before="0" w:after="0"/>
        <w:ind w:left="924" w:hanging="357"/>
      </w:pPr>
      <w:r>
        <w:t>Завичајни сусрети (Горња Јошаница, Блаце – август)</w:t>
      </w:r>
    </w:p>
    <w:p w14:paraId="40C6E306" w14:textId="09DE3A2D" w:rsidR="008C6ED9" w:rsidRDefault="008C6ED9" w:rsidP="00E20679">
      <w:pPr>
        <w:pStyle w:val="Tekst-1"/>
        <w:numPr>
          <w:ilvl w:val="0"/>
          <w:numId w:val="6"/>
        </w:numPr>
        <w:spacing w:before="0" w:after="0"/>
        <w:ind w:left="924" w:hanging="357"/>
      </w:pPr>
      <w:r w:rsidRPr="00FA741E">
        <w:t>Међународна ликовна колонија ,,Меморијал Боже Илића“ (</w:t>
      </w:r>
      <w:r>
        <w:t xml:space="preserve">Прокупље – </w:t>
      </w:r>
      <w:r w:rsidRPr="00FA741E">
        <w:t>август</w:t>
      </w:r>
      <w:r>
        <w:t>)</w:t>
      </w:r>
    </w:p>
    <w:p w14:paraId="47509515" w14:textId="5F025C40" w:rsidR="008C6ED9" w:rsidRDefault="008C6ED9" w:rsidP="00E20679">
      <w:pPr>
        <w:pStyle w:val="Tekst-1"/>
        <w:numPr>
          <w:ilvl w:val="0"/>
          <w:numId w:val="6"/>
        </w:numPr>
        <w:spacing w:before="0" w:after="0"/>
        <w:ind w:left="924" w:hanging="357"/>
      </w:pPr>
      <w:r>
        <w:t>Драинчеви књижевни сусрети (Блаце – август)</w:t>
      </w:r>
    </w:p>
    <w:p w14:paraId="4781ED58" w14:textId="60971CE6" w:rsidR="008C6ED9" w:rsidRDefault="008C6ED9" w:rsidP="00E20679">
      <w:pPr>
        <w:pStyle w:val="Tekst-1"/>
        <w:numPr>
          <w:ilvl w:val="0"/>
          <w:numId w:val="6"/>
        </w:numPr>
        <w:spacing w:before="0" w:after="0"/>
        <w:ind w:left="924" w:hanging="357"/>
      </w:pPr>
      <w:r>
        <w:t>Дани шљиве (Блаце – август)</w:t>
      </w:r>
    </w:p>
    <w:p w14:paraId="203C960C" w14:textId="1F88D2AF" w:rsidR="008C6ED9" w:rsidRDefault="008C6ED9" w:rsidP="00E20679">
      <w:pPr>
        <w:pStyle w:val="Tekst-1"/>
        <w:numPr>
          <w:ilvl w:val="0"/>
          <w:numId w:val="6"/>
        </w:numPr>
        <w:spacing w:before="0" w:after="0"/>
        <w:ind w:left="924" w:hanging="357"/>
      </w:pPr>
      <w:r>
        <w:t>Културна јесен (Блаце – септембар)</w:t>
      </w:r>
    </w:p>
    <w:p w14:paraId="5F073F97" w14:textId="39A86764" w:rsidR="008C6ED9" w:rsidRDefault="008C6ED9" w:rsidP="00E20679">
      <w:pPr>
        <w:pStyle w:val="Tekst-1"/>
        <w:numPr>
          <w:ilvl w:val="0"/>
          <w:numId w:val="6"/>
        </w:numPr>
        <w:spacing w:before="0" w:after="0"/>
        <w:ind w:left="924" w:hanging="357"/>
      </w:pPr>
      <w:r>
        <w:t>Златна свадба (Блаце – новембар)</w:t>
      </w:r>
    </w:p>
    <w:p w14:paraId="7F939ABF" w14:textId="4F81E3FB" w:rsidR="00FA741E" w:rsidRPr="003162BD" w:rsidRDefault="008C6ED9" w:rsidP="00E20679">
      <w:pPr>
        <w:pStyle w:val="Tekst-1"/>
        <w:numPr>
          <w:ilvl w:val="0"/>
          <w:numId w:val="6"/>
        </w:numPr>
        <w:spacing w:before="0" w:after="0"/>
        <w:ind w:left="924" w:hanging="357"/>
      </w:pPr>
      <w:r>
        <w:t>Божићна чаролија (децембар/јануар)</w:t>
      </w:r>
    </w:p>
    <w:p w14:paraId="11CF3F33" w14:textId="212734F7" w:rsidR="00A42225" w:rsidRPr="00FA741E" w:rsidRDefault="00A42225">
      <w:pPr>
        <w:rPr>
          <w:rFonts w:ascii="Times New Roman" w:hAnsi="Times New Roman" w:cs="Times New Roman"/>
          <w:sz w:val="24"/>
          <w:szCs w:val="28"/>
          <w:lang w:val="sr-Cyrl-RS"/>
        </w:rPr>
      </w:pPr>
      <w:r>
        <w:rPr>
          <w:lang w:val="sr-Latn-RS"/>
        </w:rPr>
        <w:br w:type="page"/>
      </w:r>
    </w:p>
    <w:p w14:paraId="77FE0187" w14:textId="1B1BB256" w:rsidR="00A42225" w:rsidRPr="00A42225" w:rsidRDefault="00A42225" w:rsidP="006767C3">
      <w:pPr>
        <w:pStyle w:val="-1"/>
      </w:pPr>
      <w:bookmarkStart w:id="13" w:name="_Toc55208027"/>
      <w:r w:rsidRPr="006767C3">
        <w:lastRenderedPageBreak/>
        <w:t>Анализа</w:t>
      </w:r>
      <w:r>
        <w:t xml:space="preserve"> развојних потреба и потенцијала подручја на којем се налази Партнерство, укључујући </w:t>
      </w:r>
      <w:r>
        <w:rPr>
          <w:lang w:val="sr-Latn-RS"/>
        </w:rPr>
        <w:t xml:space="preserve">SWOT </w:t>
      </w:r>
      <w:r>
        <w:t>анализу</w:t>
      </w:r>
      <w:bookmarkEnd w:id="13"/>
    </w:p>
    <w:p w14:paraId="1842129F" w14:textId="77777777" w:rsidR="004C23C6" w:rsidRDefault="00BB607F" w:rsidP="00BB607F">
      <w:pPr>
        <w:pStyle w:val="Tekst-1"/>
      </w:pPr>
      <w:r>
        <w:t>Будући да је SWOT матрица један од најзначајнијих алата стратешког планирања, укрштањем елемената матрице биће изведене најзначајније информације, кључни изазови и могућности, на којима се креирају стратешки циљеви и правци развоја ЛАГ подручја. Стога, квалитет SWOT анализе може бити од пресудног значаја за дефинисање исправне политике развоја подручја.</w:t>
      </w:r>
    </w:p>
    <w:p w14:paraId="59634597" w14:textId="4DC84D16" w:rsidR="00BB607F" w:rsidRDefault="00BB607F" w:rsidP="00BB607F">
      <w:pPr>
        <w:pStyle w:val="Tekst-1"/>
      </w:pPr>
      <w:r>
        <w:t>ЛАГ ”Јастребчанка” посебну пажњу посветио је изради матрице, кроз процес консултација са заједницом, заинтересованим странама, али и уз техничку и саветодавну помоћ експерата из служби општинских органа из подручја које покрива партнерство.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296"/>
        <w:gridCol w:w="4947"/>
      </w:tblGrid>
      <w:tr w:rsidR="00DE400D" w:rsidRPr="00DE400D" w14:paraId="30F5DF3C" w14:textId="77777777" w:rsidTr="00F026DD">
        <w:trPr>
          <w:trHeight w:val="134"/>
        </w:trPr>
        <w:tc>
          <w:tcPr>
            <w:tcW w:w="4191" w:type="dxa"/>
            <w:shd w:val="clear" w:color="auto" w:fill="2F5496" w:themeFill="accent1" w:themeFillShade="BF"/>
            <w:vAlign w:val="center"/>
          </w:tcPr>
          <w:p w14:paraId="775BC197" w14:textId="11DFDA40" w:rsidR="00F84B54" w:rsidRPr="00DE400D" w:rsidRDefault="00F84B54" w:rsidP="00F026DD">
            <w:pPr>
              <w:spacing w:after="0" w:line="240" w:lineRule="auto"/>
              <w:contextualSpacing/>
              <w:jc w:val="center"/>
              <w:rPr>
                <w:rFonts w:ascii="Times New Roman" w:hAnsi="Times New Roman" w:cs="Times New Roman"/>
                <w:color w:val="FFFFFF" w:themeColor="background1"/>
                <w:sz w:val="24"/>
                <w:szCs w:val="24"/>
                <w:lang w:val="sr-Cyrl-RS"/>
              </w:rPr>
            </w:pPr>
            <w:r>
              <w:t xml:space="preserve"> </w:t>
            </w:r>
            <w:r w:rsidR="000B0788">
              <w:rPr>
                <w:rFonts w:ascii="Times New Roman" w:hAnsi="Times New Roman" w:cs="Times New Roman"/>
                <w:color w:val="FFFFFF" w:themeColor="background1"/>
                <w:sz w:val="24"/>
                <w:szCs w:val="24"/>
                <w:lang w:val="sr-Cyrl-RS"/>
              </w:rPr>
              <w:t>С</w:t>
            </w:r>
            <w:r w:rsidRPr="00DE400D">
              <w:rPr>
                <w:rFonts w:ascii="Times New Roman" w:hAnsi="Times New Roman" w:cs="Times New Roman"/>
                <w:color w:val="FFFFFF" w:themeColor="background1"/>
                <w:sz w:val="24"/>
                <w:szCs w:val="24"/>
                <w:lang w:val="sr-Cyrl-RS"/>
              </w:rPr>
              <w:t>наге</w:t>
            </w:r>
          </w:p>
        </w:tc>
        <w:tc>
          <w:tcPr>
            <w:tcW w:w="4826" w:type="dxa"/>
            <w:shd w:val="clear" w:color="auto" w:fill="2F5496" w:themeFill="accent1" w:themeFillShade="BF"/>
            <w:vAlign w:val="center"/>
          </w:tcPr>
          <w:p w14:paraId="161EA6E8" w14:textId="40B22AB6" w:rsidR="00F84B54" w:rsidRPr="00DE400D" w:rsidRDefault="000B0788" w:rsidP="00F026DD">
            <w:pPr>
              <w:spacing w:after="0" w:line="240" w:lineRule="auto"/>
              <w:contextualSpacing/>
              <w:jc w:val="center"/>
              <w:rPr>
                <w:rFonts w:ascii="Times New Roman" w:hAnsi="Times New Roman" w:cs="Times New Roman"/>
                <w:color w:val="FFFFFF" w:themeColor="background1"/>
                <w:sz w:val="24"/>
                <w:szCs w:val="24"/>
                <w:lang w:val="sr-Cyrl-RS"/>
              </w:rPr>
            </w:pPr>
            <w:r>
              <w:rPr>
                <w:rFonts w:ascii="Times New Roman" w:hAnsi="Times New Roman" w:cs="Times New Roman"/>
                <w:color w:val="FFFFFF" w:themeColor="background1"/>
                <w:sz w:val="24"/>
                <w:szCs w:val="24"/>
                <w:lang w:val="sr-Cyrl-RS"/>
              </w:rPr>
              <w:t>С</w:t>
            </w:r>
            <w:r w:rsidR="00F84B54" w:rsidRPr="00DE400D">
              <w:rPr>
                <w:rFonts w:ascii="Times New Roman" w:hAnsi="Times New Roman" w:cs="Times New Roman"/>
                <w:color w:val="FFFFFF" w:themeColor="background1"/>
                <w:sz w:val="24"/>
                <w:szCs w:val="24"/>
                <w:lang w:val="sr-Cyrl-RS"/>
              </w:rPr>
              <w:t>лабости</w:t>
            </w:r>
          </w:p>
        </w:tc>
      </w:tr>
      <w:tr w:rsidR="00F84B54" w:rsidRPr="00DE400D" w14:paraId="164F7523" w14:textId="77777777" w:rsidTr="00061458">
        <w:trPr>
          <w:trHeight w:val="3563"/>
        </w:trPr>
        <w:tc>
          <w:tcPr>
            <w:tcW w:w="4191" w:type="dxa"/>
          </w:tcPr>
          <w:p w14:paraId="4DDCD01F" w14:textId="58C0871E" w:rsidR="00F026DD" w:rsidRPr="00F026DD"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Пољопривредне површине</w:t>
            </w:r>
            <w:r w:rsidR="00F026DD">
              <w:rPr>
                <w:rFonts w:ascii="Times New Roman" w:hAnsi="Times New Roman" w:cs="Times New Roman"/>
                <w:sz w:val="24"/>
                <w:szCs w:val="24"/>
                <w:lang w:val="sr-Cyrl-RS"/>
              </w:rPr>
              <w:t xml:space="preserve"> и традиција у пољопривредној производњи</w:t>
            </w:r>
          </w:p>
          <w:p w14:paraId="45BA2D54" w14:textId="6D0C77D1" w:rsidR="00F84B54" w:rsidRPr="00F026DD"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Природни ресурси (шуме, воде, клима…)</w:t>
            </w:r>
          </w:p>
          <w:p w14:paraId="01CB5DCD" w14:textId="0F53A354" w:rsidR="00F84B54" w:rsidRPr="0073483B"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Традиционална гостољубивост</w:t>
            </w:r>
            <w:r w:rsidR="0073483B">
              <w:rPr>
                <w:rFonts w:ascii="Times New Roman" w:hAnsi="Times New Roman" w:cs="Times New Roman"/>
                <w:sz w:val="24"/>
                <w:szCs w:val="24"/>
              </w:rPr>
              <w:t xml:space="preserve"> </w:t>
            </w:r>
            <w:r w:rsidRPr="0073483B">
              <w:rPr>
                <w:rFonts w:ascii="Times New Roman" w:hAnsi="Times New Roman" w:cs="Times New Roman"/>
                <w:sz w:val="24"/>
                <w:szCs w:val="24"/>
              </w:rPr>
              <w:t>становништва;</w:t>
            </w:r>
          </w:p>
          <w:p w14:paraId="71DA2CB4" w14:textId="1C4AC848" w:rsidR="00F84B54" w:rsidRPr="00F026DD"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 xml:space="preserve">Повољан географски </w:t>
            </w:r>
            <w:r w:rsidR="00F04F96">
              <w:rPr>
                <w:rFonts w:ascii="Times New Roman" w:hAnsi="Times New Roman" w:cs="Times New Roman"/>
                <w:sz w:val="24"/>
                <w:szCs w:val="24"/>
                <w:lang w:val="sr-Cyrl-RS"/>
              </w:rPr>
              <w:t xml:space="preserve">и транзитни </w:t>
            </w:r>
            <w:r w:rsidRPr="00F026DD">
              <w:rPr>
                <w:rFonts w:ascii="Times New Roman" w:hAnsi="Times New Roman" w:cs="Times New Roman"/>
                <w:sz w:val="24"/>
                <w:szCs w:val="24"/>
              </w:rPr>
              <w:t>положај</w:t>
            </w:r>
          </w:p>
          <w:p w14:paraId="59F1EE2D" w14:textId="699151BB" w:rsidR="00F84B54" w:rsidRPr="00F026DD"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Развијен манифестациони туризам</w:t>
            </w:r>
          </w:p>
          <w:p w14:paraId="314B1DC6" w14:textId="029E2EE1" w:rsidR="00F84B54" w:rsidRPr="00F04F96"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Б</w:t>
            </w:r>
            <w:r w:rsidR="00F84B54" w:rsidRPr="00F026DD">
              <w:rPr>
                <w:rFonts w:ascii="Times New Roman" w:hAnsi="Times New Roman" w:cs="Times New Roman"/>
                <w:sz w:val="24"/>
                <w:szCs w:val="24"/>
              </w:rPr>
              <w:t>лизина аутопута</w:t>
            </w:r>
            <w:r>
              <w:rPr>
                <w:rFonts w:ascii="Times New Roman" w:hAnsi="Times New Roman" w:cs="Times New Roman"/>
                <w:sz w:val="24"/>
                <w:szCs w:val="24"/>
                <w:lang w:val="sr-Cyrl-RS"/>
              </w:rPr>
              <w:t xml:space="preserve"> Е-75 и К</w:t>
            </w:r>
            <w:r w:rsidRPr="00F026DD">
              <w:rPr>
                <w:rFonts w:ascii="Times New Roman" w:hAnsi="Times New Roman" w:cs="Times New Roman"/>
                <w:sz w:val="24"/>
                <w:szCs w:val="24"/>
              </w:rPr>
              <w:t>оридора 10</w:t>
            </w:r>
          </w:p>
          <w:p w14:paraId="29C1FE36" w14:textId="2A4FDC90" w:rsidR="00F84B54" w:rsidRPr="00F026DD"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Историјски познато подручје</w:t>
            </w:r>
          </w:p>
          <w:p w14:paraId="124229D3" w14:textId="399B0397" w:rsidR="00F84B54"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026DD">
              <w:rPr>
                <w:rFonts w:ascii="Times New Roman" w:hAnsi="Times New Roman" w:cs="Times New Roman"/>
                <w:sz w:val="24"/>
                <w:szCs w:val="24"/>
              </w:rPr>
              <w:t>Велики број успешних предузетника</w:t>
            </w:r>
          </w:p>
          <w:p w14:paraId="0AE58928" w14:textId="18761CE9" w:rsidR="00061458"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Велики број фарми и фармера у руралним срединама</w:t>
            </w:r>
          </w:p>
          <w:p w14:paraId="0F4B2CB7" w14:textId="18821B6C" w:rsidR="00F84B54"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Г</w:t>
            </w:r>
            <w:r w:rsidR="00F84B54" w:rsidRPr="00F026DD">
              <w:rPr>
                <w:rFonts w:ascii="Times New Roman" w:hAnsi="Times New Roman" w:cs="Times New Roman"/>
                <w:sz w:val="24"/>
                <w:szCs w:val="24"/>
              </w:rPr>
              <w:t>рад Прокупље</w:t>
            </w:r>
            <w:r>
              <w:rPr>
                <w:rFonts w:ascii="Times New Roman" w:hAnsi="Times New Roman" w:cs="Times New Roman"/>
                <w:sz w:val="24"/>
                <w:szCs w:val="24"/>
                <w:lang w:val="sr-Cyrl-RS"/>
              </w:rPr>
              <w:t xml:space="preserve"> као административни центар и носилац развоја подручја Партнерства</w:t>
            </w:r>
          </w:p>
          <w:p w14:paraId="51FF30A3" w14:textId="1534523E" w:rsidR="00F84B54" w:rsidRPr="00F04F96"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З</w:t>
            </w:r>
            <w:r w:rsidR="00F84B54" w:rsidRPr="00F026DD">
              <w:rPr>
                <w:rFonts w:ascii="Times New Roman" w:hAnsi="Times New Roman" w:cs="Times New Roman"/>
                <w:sz w:val="24"/>
                <w:szCs w:val="24"/>
              </w:rPr>
              <w:t>драва храна</w:t>
            </w:r>
            <w:r>
              <w:rPr>
                <w:rFonts w:ascii="Times New Roman" w:hAnsi="Times New Roman" w:cs="Times New Roman"/>
                <w:sz w:val="24"/>
                <w:szCs w:val="24"/>
                <w:lang w:val="sr-Cyrl-RS"/>
              </w:rPr>
              <w:t xml:space="preserve"> (блачка шљива по којој се идентификује цело географско подручје, остало воће, млеко, месо...)</w:t>
            </w:r>
          </w:p>
          <w:p w14:paraId="1343D7AA" w14:textId="370A8954" w:rsidR="00F04F96"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sidRPr="00F04F96">
              <w:rPr>
                <w:rFonts w:ascii="Times New Roman" w:hAnsi="Times New Roman" w:cs="Times New Roman"/>
                <w:sz w:val="24"/>
                <w:szCs w:val="24"/>
              </w:rPr>
              <w:t>Производња традиционалних производа, аутентичних локалних специјалитета</w:t>
            </w:r>
          </w:p>
          <w:p w14:paraId="45F9B3FB" w14:textId="745E9AF1" w:rsidR="00F84B54"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П</w:t>
            </w:r>
            <w:r w:rsidR="00F84B54" w:rsidRPr="00F026DD">
              <w:rPr>
                <w:rFonts w:ascii="Times New Roman" w:hAnsi="Times New Roman" w:cs="Times New Roman"/>
                <w:sz w:val="24"/>
                <w:szCs w:val="24"/>
              </w:rPr>
              <w:t>рокупачко виногорје (</w:t>
            </w:r>
            <w:r>
              <w:rPr>
                <w:rFonts w:ascii="Times New Roman" w:hAnsi="Times New Roman" w:cs="Times New Roman"/>
                <w:sz w:val="24"/>
                <w:szCs w:val="24"/>
                <w:lang w:val="sr-Cyrl-RS"/>
              </w:rPr>
              <w:t>П</w:t>
            </w:r>
            <w:r w:rsidR="00F84B54" w:rsidRPr="00F026DD">
              <w:rPr>
                <w:rFonts w:ascii="Times New Roman" w:hAnsi="Times New Roman" w:cs="Times New Roman"/>
                <w:sz w:val="24"/>
                <w:szCs w:val="24"/>
              </w:rPr>
              <w:t>рокупац)</w:t>
            </w:r>
            <w:r>
              <w:rPr>
                <w:rFonts w:ascii="Times New Roman" w:hAnsi="Times New Roman" w:cs="Times New Roman"/>
                <w:sz w:val="24"/>
                <w:szCs w:val="24"/>
                <w:lang w:val="sr-Cyrl-RS"/>
              </w:rPr>
              <w:t xml:space="preserve"> – Винарије: „Доја“ и „Топлички виногради“, више малих и неафирмисаних подрума и винарија</w:t>
            </w:r>
          </w:p>
          <w:p w14:paraId="177A8B10" w14:textId="2AA93C70" w:rsidR="00F84B54"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П</w:t>
            </w:r>
            <w:r w:rsidR="00F84B54" w:rsidRPr="00F026DD">
              <w:rPr>
                <w:rFonts w:ascii="Times New Roman" w:hAnsi="Times New Roman" w:cs="Times New Roman"/>
                <w:sz w:val="24"/>
                <w:szCs w:val="24"/>
              </w:rPr>
              <w:t>овољни услови за гајење воћа</w:t>
            </w:r>
          </w:p>
          <w:p w14:paraId="5335A759" w14:textId="3543428F" w:rsidR="00F84B54"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Б</w:t>
            </w:r>
            <w:r w:rsidR="00F84B54" w:rsidRPr="00F026DD">
              <w:rPr>
                <w:rFonts w:ascii="Times New Roman" w:hAnsi="Times New Roman" w:cs="Times New Roman"/>
                <w:sz w:val="24"/>
                <w:szCs w:val="24"/>
              </w:rPr>
              <w:t>лизина државних путева I</w:t>
            </w:r>
            <w:r>
              <w:rPr>
                <w:rFonts w:ascii="Times New Roman" w:hAnsi="Times New Roman" w:cs="Times New Roman"/>
                <w:sz w:val="24"/>
                <w:szCs w:val="24"/>
                <w:lang w:val="sr-Cyrl-RS"/>
              </w:rPr>
              <w:t>-</w:t>
            </w:r>
            <w:r w:rsidR="00F84B54" w:rsidRPr="00F026DD">
              <w:rPr>
                <w:rFonts w:ascii="Times New Roman" w:hAnsi="Times New Roman" w:cs="Times New Roman"/>
                <w:sz w:val="24"/>
                <w:szCs w:val="24"/>
              </w:rPr>
              <w:t>B реда</w:t>
            </w:r>
          </w:p>
          <w:p w14:paraId="4C61E68F" w14:textId="62E5FCFF" w:rsidR="00F84B54" w:rsidRPr="00F026DD"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Б</w:t>
            </w:r>
            <w:r w:rsidR="00F84B54" w:rsidRPr="00F026DD">
              <w:rPr>
                <w:rFonts w:ascii="Times New Roman" w:hAnsi="Times New Roman" w:cs="Times New Roman"/>
                <w:sz w:val="24"/>
                <w:szCs w:val="24"/>
              </w:rPr>
              <w:t>лизина државне границе са Македонијом, Грчком и Бугарском</w:t>
            </w:r>
          </w:p>
          <w:p w14:paraId="06FB06E9" w14:textId="3CC00C42" w:rsidR="00F84B54"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А</w:t>
            </w:r>
            <w:r w:rsidR="00F84B54" w:rsidRPr="00F026DD">
              <w:rPr>
                <w:rFonts w:ascii="Times New Roman" w:hAnsi="Times New Roman" w:cs="Times New Roman"/>
                <w:sz w:val="24"/>
                <w:szCs w:val="24"/>
              </w:rPr>
              <w:t>рхеолошки локалитет</w:t>
            </w:r>
            <w:r w:rsidR="00061458">
              <w:rPr>
                <w:rFonts w:ascii="Times New Roman" w:hAnsi="Times New Roman" w:cs="Times New Roman"/>
                <w:sz w:val="24"/>
                <w:szCs w:val="24"/>
                <w:lang w:val="sr-Cyrl-RS"/>
              </w:rPr>
              <w:t>и (локалитет</w:t>
            </w:r>
            <w:r w:rsidR="00F84B54" w:rsidRPr="00F026DD">
              <w:rPr>
                <w:rFonts w:ascii="Times New Roman" w:hAnsi="Times New Roman" w:cs="Times New Roman"/>
                <w:sz w:val="24"/>
                <w:szCs w:val="24"/>
              </w:rPr>
              <w:t xml:space="preserve"> из доба Неолита у Плочнику</w:t>
            </w:r>
            <w:r w:rsidR="00061458">
              <w:rPr>
                <w:rFonts w:ascii="Times New Roman" w:hAnsi="Times New Roman" w:cs="Times New Roman"/>
                <w:sz w:val="24"/>
                <w:szCs w:val="24"/>
                <w:lang w:val="sr-Cyrl-RS"/>
              </w:rPr>
              <w:t xml:space="preserve">, Хисар, </w:t>
            </w:r>
            <w:r w:rsidR="00061458">
              <w:rPr>
                <w:rFonts w:ascii="Times New Roman" w:hAnsi="Times New Roman" w:cs="Times New Roman"/>
                <w:sz w:val="24"/>
                <w:szCs w:val="24"/>
                <w:lang w:val="sr-Cyrl-RS"/>
              </w:rPr>
              <w:lastRenderedPageBreak/>
              <w:t>палеонтолошко налазиште Пребреза...)</w:t>
            </w:r>
          </w:p>
          <w:p w14:paraId="35E13449" w14:textId="6C6B15D2" w:rsidR="00F04F96" w:rsidRPr="00F04F96"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Брдо Хисар</w:t>
            </w:r>
          </w:p>
          <w:p w14:paraId="0F17D9C2" w14:textId="77777777" w:rsidR="00F04F96" w:rsidRPr="00F04F96"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Блачко језеро</w:t>
            </w:r>
          </w:p>
          <w:p w14:paraId="2945623B" w14:textId="77777777" w:rsidR="00F04F96" w:rsidRPr="00061458" w:rsidRDefault="00F04F96"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Академија струковних студија</w:t>
            </w:r>
            <w:r w:rsidR="00061458">
              <w:rPr>
                <w:rFonts w:ascii="Times New Roman" w:hAnsi="Times New Roman" w:cs="Times New Roman"/>
                <w:sz w:val="24"/>
                <w:szCs w:val="24"/>
                <w:lang w:val="sr-Cyrl-RS"/>
              </w:rPr>
              <w:t xml:space="preserve"> Јужна Србија</w:t>
            </w:r>
          </w:p>
          <w:p w14:paraId="52B7196C" w14:textId="77777777" w:rsid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sidRPr="00061458">
              <w:rPr>
                <w:rFonts w:ascii="Times New Roman" w:hAnsi="Times New Roman" w:cs="Times New Roman"/>
                <w:sz w:val="24"/>
                <w:szCs w:val="24"/>
              </w:rPr>
              <w:t>Повећање броја високообразованог становништва</w:t>
            </w:r>
          </w:p>
          <w:p w14:paraId="71E48247" w14:textId="3A070015" w:rsidR="00061458" w:rsidRPr="00F026DD"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sidRPr="00061458">
              <w:rPr>
                <w:rFonts w:ascii="Times New Roman" w:hAnsi="Times New Roman" w:cs="Times New Roman"/>
                <w:sz w:val="24"/>
                <w:szCs w:val="24"/>
              </w:rPr>
              <w:t>Значајан број манифестација различитог типа (културне, спортске, гастрономске...)</w:t>
            </w:r>
          </w:p>
        </w:tc>
        <w:tc>
          <w:tcPr>
            <w:tcW w:w="4826" w:type="dxa"/>
          </w:tcPr>
          <w:p w14:paraId="6666D1B4" w14:textId="3D4D3847"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sidRPr="00061458">
              <w:rPr>
                <w:rFonts w:ascii="Times New Roman" w:hAnsi="Times New Roman" w:cs="Times New Roman"/>
                <w:sz w:val="24"/>
                <w:szCs w:val="24"/>
              </w:rPr>
              <w:lastRenderedPageBreak/>
              <w:t>З</w:t>
            </w:r>
            <w:r w:rsidR="00F84B54" w:rsidRPr="00061458">
              <w:rPr>
                <w:rFonts w:ascii="Times New Roman" w:hAnsi="Times New Roman" w:cs="Times New Roman"/>
                <w:sz w:val="24"/>
                <w:szCs w:val="24"/>
              </w:rPr>
              <w:t>агађење река Топлиц</w:t>
            </w:r>
            <w:r w:rsidRPr="00061458">
              <w:rPr>
                <w:rFonts w:ascii="Times New Roman" w:hAnsi="Times New Roman" w:cs="Times New Roman"/>
                <w:sz w:val="24"/>
                <w:szCs w:val="24"/>
              </w:rPr>
              <w:t>е и Блаташнице</w:t>
            </w:r>
            <w:r w:rsidR="00F84B54" w:rsidRPr="00061458">
              <w:rPr>
                <w:rFonts w:ascii="Times New Roman" w:hAnsi="Times New Roman" w:cs="Times New Roman"/>
                <w:sz w:val="24"/>
                <w:szCs w:val="24"/>
              </w:rPr>
              <w:t>;</w:t>
            </w:r>
          </w:p>
          <w:p w14:paraId="1187E699" w14:textId="5674C3B9"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sidRPr="00061458">
              <w:rPr>
                <w:rFonts w:ascii="Times New Roman" w:hAnsi="Times New Roman" w:cs="Times New Roman"/>
                <w:sz w:val="24"/>
                <w:szCs w:val="24"/>
              </w:rPr>
              <w:t>Н</w:t>
            </w:r>
            <w:r w:rsidR="00F84B54" w:rsidRPr="00061458">
              <w:rPr>
                <w:rFonts w:ascii="Times New Roman" w:hAnsi="Times New Roman" w:cs="Times New Roman"/>
                <w:sz w:val="24"/>
                <w:szCs w:val="24"/>
              </w:rPr>
              <w:t>едовољно опремљени смештајни и туристички капацитети</w:t>
            </w:r>
          </w:p>
          <w:p w14:paraId="25A626E4" w14:textId="4DE99DAD"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Честе м</w:t>
            </w:r>
            <w:r w:rsidR="00F84B54" w:rsidRPr="00061458">
              <w:rPr>
                <w:rFonts w:ascii="Times New Roman" w:hAnsi="Times New Roman" w:cs="Times New Roman"/>
                <w:sz w:val="24"/>
                <w:szCs w:val="24"/>
              </w:rPr>
              <w:t>играције у веће центре</w:t>
            </w:r>
          </w:p>
          <w:p w14:paraId="722ED237" w14:textId="10983FFC"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w:t>
            </w:r>
            <w:r w:rsidR="00F84B54" w:rsidRPr="00061458">
              <w:rPr>
                <w:rFonts w:ascii="Times New Roman" w:hAnsi="Times New Roman" w:cs="Times New Roman"/>
                <w:sz w:val="24"/>
                <w:szCs w:val="24"/>
              </w:rPr>
              <w:t xml:space="preserve">изак животни стандард </w:t>
            </w:r>
            <w:r>
              <w:rPr>
                <w:rFonts w:ascii="Times New Roman" w:hAnsi="Times New Roman" w:cs="Times New Roman"/>
                <w:sz w:val="24"/>
                <w:szCs w:val="24"/>
                <w:lang w:val="sr-Cyrl-RS"/>
              </w:rPr>
              <w:t>локалног становништва</w:t>
            </w:r>
          </w:p>
          <w:p w14:paraId="09437C93" w14:textId="5C285632"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w:t>
            </w:r>
            <w:r w:rsidR="00F84B54" w:rsidRPr="00061458">
              <w:rPr>
                <w:rFonts w:ascii="Times New Roman" w:hAnsi="Times New Roman" w:cs="Times New Roman"/>
                <w:sz w:val="24"/>
                <w:szCs w:val="24"/>
              </w:rPr>
              <w:t>едовољно средстава из буџета за развој пољопривреде</w:t>
            </w:r>
          </w:p>
          <w:p w14:paraId="38D40FB9" w14:textId="555FE7CA"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 xml:space="preserve">Миграцијска кретања </w:t>
            </w:r>
            <w:r w:rsidR="00F84B54" w:rsidRPr="00061458">
              <w:rPr>
                <w:rFonts w:ascii="Times New Roman" w:hAnsi="Times New Roman" w:cs="Times New Roman"/>
                <w:sz w:val="24"/>
                <w:szCs w:val="24"/>
              </w:rPr>
              <w:t>младих образованих људи</w:t>
            </w:r>
          </w:p>
          <w:p w14:paraId="3A6C0D3D" w14:textId="5BBAAD1D"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w:t>
            </w:r>
            <w:r w:rsidR="00F84B54" w:rsidRPr="00061458">
              <w:rPr>
                <w:rFonts w:ascii="Times New Roman" w:hAnsi="Times New Roman" w:cs="Times New Roman"/>
                <w:sz w:val="24"/>
                <w:szCs w:val="24"/>
              </w:rPr>
              <w:t>езаинтересованост ве</w:t>
            </w:r>
            <w:r>
              <w:rPr>
                <w:rFonts w:ascii="Times New Roman" w:hAnsi="Times New Roman" w:cs="Times New Roman"/>
                <w:sz w:val="24"/>
                <w:szCs w:val="24"/>
                <w:lang w:val="sr-Cyrl-RS"/>
              </w:rPr>
              <w:t>ликог</w:t>
            </w:r>
            <w:r w:rsidR="00F84B54" w:rsidRPr="00061458">
              <w:rPr>
                <w:rFonts w:ascii="Times New Roman" w:hAnsi="Times New Roman" w:cs="Times New Roman"/>
                <w:sz w:val="24"/>
                <w:szCs w:val="24"/>
              </w:rPr>
              <w:t xml:space="preserve"> дела грађана за учење страних језика</w:t>
            </w:r>
          </w:p>
          <w:p w14:paraId="5E44BF9D" w14:textId="67BDD74C" w:rsidR="00F84B54" w:rsidRPr="00DE400D"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Л</w:t>
            </w:r>
            <w:r w:rsidR="00F84B54" w:rsidRPr="00061458">
              <w:rPr>
                <w:rFonts w:ascii="Times New Roman" w:hAnsi="Times New Roman" w:cs="Times New Roman"/>
                <w:sz w:val="24"/>
                <w:szCs w:val="24"/>
              </w:rPr>
              <w:t>оша информисаност младих на селу</w:t>
            </w:r>
          </w:p>
          <w:p w14:paraId="115B5E99" w14:textId="359FCD44" w:rsid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Недовољна опремљеност телекомуникационе инфраструктуре</w:t>
            </w:r>
          </w:p>
          <w:p w14:paraId="0E77DDCD" w14:textId="5884E093" w:rsidR="00F84B54"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Ниска</w:t>
            </w:r>
            <w:r w:rsidR="00F84B54" w:rsidRPr="00061458">
              <w:rPr>
                <w:rFonts w:ascii="Times New Roman" w:hAnsi="Times New Roman" w:cs="Times New Roman"/>
                <w:sz w:val="24"/>
                <w:szCs w:val="24"/>
              </w:rPr>
              <w:t xml:space="preserve"> еколошка свест грађана</w:t>
            </w:r>
          </w:p>
          <w:p w14:paraId="2FBB55A2" w14:textId="77777777" w:rsidR="00F84B54" w:rsidRDefault="00061458"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Pr>
                <w:rFonts w:ascii="Times New Roman" w:hAnsi="Times New Roman" w:cs="Times New Roman"/>
                <w:sz w:val="24"/>
                <w:szCs w:val="24"/>
                <w:lang w:val="sr-Cyrl-RS"/>
              </w:rPr>
              <w:t>Висока стопа н</w:t>
            </w:r>
            <w:r w:rsidR="00F84B54" w:rsidRPr="00061458">
              <w:rPr>
                <w:rFonts w:ascii="Times New Roman" w:hAnsi="Times New Roman" w:cs="Times New Roman"/>
                <w:sz w:val="24"/>
                <w:szCs w:val="24"/>
              </w:rPr>
              <w:t>езапосленост</w:t>
            </w:r>
            <w:r>
              <w:rPr>
                <w:rFonts w:ascii="Times New Roman" w:hAnsi="Times New Roman" w:cs="Times New Roman"/>
                <w:sz w:val="24"/>
                <w:szCs w:val="24"/>
                <w:lang w:val="sr-Cyrl-RS"/>
              </w:rPr>
              <w:t>и</w:t>
            </w:r>
            <w:r w:rsidR="00F84B54" w:rsidRPr="00061458">
              <w:rPr>
                <w:rFonts w:ascii="Times New Roman" w:hAnsi="Times New Roman" w:cs="Times New Roman"/>
                <w:sz w:val="24"/>
                <w:szCs w:val="24"/>
              </w:rPr>
              <w:t xml:space="preserve"> код осетљивих категорија становништва</w:t>
            </w:r>
            <w:r>
              <w:rPr>
                <w:rFonts w:ascii="Times New Roman" w:hAnsi="Times New Roman" w:cs="Times New Roman"/>
                <w:sz w:val="24"/>
                <w:szCs w:val="24"/>
                <w:lang w:val="sr-Cyrl-RS"/>
              </w:rPr>
              <w:t xml:space="preserve"> (млади, жене, Роми, старији од 50 година)</w:t>
            </w:r>
          </w:p>
          <w:p w14:paraId="7AF2C0A6"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Слаба идентификација и промоција специфичних локалних производа и услуга</w:t>
            </w:r>
          </w:p>
          <w:p w14:paraId="06E03622"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Недовољно развијенакомунална инфраструктура и потреба за већим улагањима у исту</w:t>
            </w:r>
          </w:p>
          <w:p w14:paraId="469EFBEC"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 xml:space="preserve">Лош квалитет воде за пиће (у појединим местима </w:t>
            </w:r>
            <w:r>
              <w:rPr>
                <w:rFonts w:ascii="Times New Roman" w:hAnsi="Times New Roman" w:cs="Times New Roman"/>
                <w:sz w:val="24"/>
                <w:szCs w:val="24"/>
                <w:lang w:val="sr-Cyrl-RS"/>
              </w:rPr>
              <w:t xml:space="preserve">долази до честе забране </w:t>
            </w:r>
            <w:r w:rsidRPr="00FA2277">
              <w:rPr>
                <w:rFonts w:ascii="Times New Roman" w:hAnsi="Times New Roman" w:cs="Times New Roman"/>
                <w:sz w:val="24"/>
                <w:szCs w:val="24"/>
                <w:lang w:val="sr-Cyrl-RS"/>
              </w:rPr>
              <w:t>употреба воде за пиће)</w:t>
            </w:r>
          </w:p>
          <w:p w14:paraId="22DD23EC"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Низак степен развијености туризма(туристички производи, локалитети, угоститељство)</w:t>
            </w:r>
          </w:p>
          <w:p w14:paraId="60C37DF0"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Мањак смештајних капацитета и некатегоризација смештаја за унапређење туристичке понуде</w:t>
            </w:r>
          </w:p>
          <w:p w14:paraId="1ABA1035"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 xml:space="preserve">Низак ниво зарада становника (испод </w:t>
            </w:r>
            <w:r w:rsidRPr="00FA2277">
              <w:rPr>
                <w:rFonts w:ascii="Times New Roman" w:hAnsi="Times New Roman" w:cs="Times New Roman"/>
                <w:sz w:val="24"/>
                <w:szCs w:val="24"/>
                <w:lang w:val="sr-Cyrl-RS"/>
              </w:rPr>
              <w:lastRenderedPageBreak/>
              <w:t>републичког просека)</w:t>
            </w:r>
          </w:p>
          <w:p w14:paraId="72C4229B" w14:textId="77777777" w:rsid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Недовољно добра комуникација и сарадња између житеља насељених места у погледу заједничког наступа пред органима у циљу решавања локалних проблема (непрепознавање значаја заједничког наступа и повезивања у шире целине)</w:t>
            </w:r>
          </w:p>
          <w:p w14:paraId="2CC4D5EB" w14:textId="488B1E48" w:rsidR="00FA2277" w:rsidRPr="00DE400D" w:rsidRDefault="00FA2277" w:rsidP="00E20679">
            <w:pPr>
              <w:pStyle w:val="ListParagraph"/>
              <w:numPr>
                <w:ilvl w:val="1"/>
                <w:numId w:val="6"/>
              </w:numPr>
              <w:spacing w:after="0" w:line="240" w:lineRule="auto"/>
              <w:ind w:left="166" w:hanging="218"/>
              <w:rPr>
                <w:rFonts w:ascii="Times New Roman" w:hAnsi="Times New Roman" w:cs="Times New Roman"/>
                <w:sz w:val="24"/>
                <w:szCs w:val="24"/>
                <w:lang w:val="sr-Cyrl-RS"/>
              </w:rPr>
            </w:pPr>
            <w:r w:rsidRPr="00FA2277">
              <w:rPr>
                <w:rFonts w:ascii="Times New Roman" w:hAnsi="Times New Roman" w:cs="Times New Roman"/>
                <w:sz w:val="24"/>
                <w:szCs w:val="24"/>
                <w:lang w:val="sr-Cyrl-RS"/>
              </w:rPr>
              <w:t>Неповољна старосна структура становништв</w:t>
            </w:r>
            <w:r>
              <w:rPr>
                <w:rFonts w:ascii="Times New Roman" w:hAnsi="Times New Roman" w:cs="Times New Roman"/>
                <w:sz w:val="24"/>
                <w:szCs w:val="24"/>
                <w:lang w:val="sr-Cyrl-RS"/>
              </w:rPr>
              <w:t>а</w:t>
            </w:r>
          </w:p>
        </w:tc>
      </w:tr>
      <w:tr w:rsidR="00F026DD" w:rsidRPr="00DE400D" w14:paraId="36F8652D" w14:textId="77777777" w:rsidTr="00F026DD">
        <w:trPr>
          <w:trHeight w:val="340"/>
        </w:trPr>
        <w:tc>
          <w:tcPr>
            <w:tcW w:w="4191" w:type="dxa"/>
            <w:shd w:val="clear" w:color="auto" w:fill="2F5496" w:themeFill="accent1" w:themeFillShade="BF"/>
          </w:tcPr>
          <w:p w14:paraId="65F197BF" w14:textId="4640978E" w:rsidR="00F026DD" w:rsidRPr="00F026DD" w:rsidRDefault="00F026DD" w:rsidP="00F026DD">
            <w:pPr>
              <w:spacing w:after="0" w:line="240" w:lineRule="auto"/>
              <w:contextualSpacing/>
              <w:jc w:val="center"/>
              <w:rPr>
                <w:rFonts w:ascii="Times New Roman" w:hAnsi="Times New Roman" w:cs="Times New Roman"/>
                <w:color w:val="FFFFFF" w:themeColor="background1"/>
                <w:sz w:val="24"/>
                <w:szCs w:val="24"/>
                <w:lang w:val="sr-Cyrl-RS"/>
              </w:rPr>
            </w:pPr>
            <w:r>
              <w:rPr>
                <w:rFonts w:ascii="Times New Roman" w:hAnsi="Times New Roman" w:cs="Times New Roman"/>
                <w:color w:val="FFFFFF" w:themeColor="background1"/>
                <w:sz w:val="24"/>
                <w:szCs w:val="24"/>
                <w:lang w:val="sr-Cyrl-RS"/>
              </w:rPr>
              <w:lastRenderedPageBreak/>
              <w:t>Шансе</w:t>
            </w:r>
          </w:p>
        </w:tc>
        <w:tc>
          <w:tcPr>
            <w:tcW w:w="4826" w:type="dxa"/>
            <w:shd w:val="clear" w:color="auto" w:fill="2F5496" w:themeFill="accent1" w:themeFillShade="BF"/>
          </w:tcPr>
          <w:p w14:paraId="00577A38" w14:textId="15BD02C7" w:rsidR="00F026DD" w:rsidRPr="00F026DD" w:rsidRDefault="000B0788" w:rsidP="00F026DD">
            <w:pPr>
              <w:spacing w:after="0" w:line="240" w:lineRule="auto"/>
              <w:contextualSpacing/>
              <w:jc w:val="center"/>
              <w:rPr>
                <w:rFonts w:ascii="Times New Roman" w:hAnsi="Times New Roman" w:cs="Times New Roman"/>
                <w:color w:val="FFFFFF" w:themeColor="background1"/>
                <w:sz w:val="24"/>
                <w:szCs w:val="24"/>
                <w:lang w:val="sr-Cyrl-RS"/>
              </w:rPr>
            </w:pPr>
            <w:r>
              <w:rPr>
                <w:rFonts w:ascii="Times New Roman" w:hAnsi="Times New Roman" w:cs="Times New Roman"/>
                <w:color w:val="FFFFFF" w:themeColor="background1"/>
                <w:sz w:val="24"/>
                <w:szCs w:val="24"/>
                <w:lang w:val="sr-Cyrl-RS"/>
              </w:rPr>
              <w:t>П</w:t>
            </w:r>
            <w:r w:rsidR="00F026DD">
              <w:rPr>
                <w:rFonts w:ascii="Times New Roman" w:hAnsi="Times New Roman" w:cs="Times New Roman"/>
                <w:color w:val="FFFFFF" w:themeColor="background1"/>
                <w:sz w:val="24"/>
                <w:szCs w:val="24"/>
                <w:lang w:val="sr-Cyrl-RS"/>
              </w:rPr>
              <w:t>ретње</w:t>
            </w:r>
          </w:p>
        </w:tc>
      </w:tr>
      <w:tr w:rsidR="00F84B54" w:rsidRPr="00DE400D" w14:paraId="530BDE6E" w14:textId="77777777" w:rsidTr="00DE400D">
        <w:trPr>
          <w:trHeight w:val="749"/>
        </w:trPr>
        <w:tc>
          <w:tcPr>
            <w:tcW w:w="4191" w:type="dxa"/>
          </w:tcPr>
          <w:p w14:paraId="23D0EABA" w14:textId="77777777"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Претприступни програми ЕУ</w:t>
            </w:r>
          </w:p>
          <w:p w14:paraId="20C9AD53" w14:textId="19EFCECF"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ИПАРД– друге мере</w:t>
            </w:r>
          </w:p>
          <w:p w14:paraId="740B1520" w14:textId="1FDD96EB"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ИПАРД - ЛЕАДЕР иницијатива</w:t>
            </w:r>
          </w:p>
          <w:p w14:paraId="0C08069C" w14:textId="28335E00"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Велики број домаћих и међународних</w:t>
            </w:r>
            <w:r w:rsidR="00FA2277">
              <w:rPr>
                <w:rFonts w:ascii="Times New Roman" w:hAnsi="Times New Roman" w:cs="Times New Roman"/>
                <w:sz w:val="24"/>
                <w:szCs w:val="24"/>
                <w:lang w:val="sr-Cyrl-RS"/>
              </w:rPr>
              <w:t xml:space="preserve"> </w:t>
            </w:r>
            <w:r w:rsidRPr="00FA2277">
              <w:rPr>
                <w:rFonts w:ascii="Times New Roman" w:hAnsi="Times New Roman" w:cs="Times New Roman"/>
                <w:sz w:val="24"/>
                <w:szCs w:val="24"/>
              </w:rPr>
              <w:t>донаторских организација</w:t>
            </w:r>
          </w:p>
          <w:p w14:paraId="2AF244EC" w14:textId="2373CBAE"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Домаће субвенције и подстицаји</w:t>
            </w:r>
          </w:p>
          <w:p w14:paraId="2B4AD8B1" w14:textId="326A3D57"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Развијање кластера</w:t>
            </w:r>
          </w:p>
          <w:p w14:paraId="05B8BA74" w14:textId="081016ED"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Изузетна тражња за локалним</w:t>
            </w:r>
            <w:r w:rsidR="00FA2277" w:rsidRPr="00FA2277">
              <w:rPr>
                <w:rFonts w:ascii="Times New Roman" w:hAnsi="Times New Roman" w:cs="Times New Roman"/>
                <w:sz w:val="24"/>
                <w:szCs w:val="24"/>
                <w:lang w:val="sr-Cyrl-RS"/>
              </w:rPr>
              <w:t xml:space="preserve"> </w:t>
            </w:r>
            <w:r w:rsidRPr="00FA2277">
              <w:rPr>
                <w:rFonts w:ascii="Times New Roman" w:hAnsi="Times New Roman" w:cs="Times New Roman"/>
                <w:sz w:val="24"/>
                <w:szCs w:val="24"/>
              </w:rPr>
              <w:t>пољопривредно-прехрамбеним</w:t>
            </w:r>
            <w:r w:rsidR="00FA2277">
              <w:rPr>
                <w:rFonts w:ascii="Times New Roman" w:hAnsi="Times New Roman" w:cs="Times New Roman"/>
                <w:sz w:val="24"/>
                <w:szCs w:val="24"/>
                <w:lang w:val="sr-Cyrl-RS"/>
              </w:rPr>
              <w:t xml:space="preserve"> </w:t>
            </w:r>
            <w:r w:rsidRPr="00FA2277">
              <w:rPr>
                <w:rFonts w:ascii="Times New Roman" w:hAnsi="Times New Roman" w:cs="Times New Roman"/>
                <w:sz w:val="24"/>
                <w:szCs w:val="24"/>
              </w:rPr>
              <w:t>производимма</w:t>
            </w:r>
            <w:r w:rsidR="00FA2277">
              <w:rPr>
                <w:rFonts w:ascii="Times New Roman" w:hAnsi="Times New Roman" w:cs="Times New Roman"/>
                <w:sz w:val="24"/>
                <w:szCs w:val="24"/>
                <w:lang w:val="sr-Cyrl-RS"/>
              </w:rPr>
              <w:t xml:space="preserve"> (међу којима се истичу аутохтоне сорте грожђа – Прокупац, ракија шљивовица, млечни производи – сир, кајмак и качкаваљ, џем и ајвар)</w:t>
            </w:r>
          </w:p>
          <w:p w14:paraId="113E8D91" w14:textId="3DFA7FD9"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73038C">
              <w:rPr>
                <w:rFonts w:ascii="Times New Roman" w:hAnsi="Times New Roman" w:cs="Times New Roman"/>
                <w:sz w:val="24"/>
                <w:szCs w:val="24"/>
              </w:rPr>
              <w:t>Промоција руралног туризма на</w:t>
            </w:r>
            <w:r w:rsidR="00FA2277">
              <w:rPr>
                <w:rFonts w:ascii="Times New Roman" w:hAnsi="Times New Roman" w:cs="Times New Roman"/>
                <w:sz w:val="24"/>
                <w:szCs w:val="24"/>
                <w:lang w:val="sr-Cyrl-RS"/>
              </w:rPr>
              <w:t xml:space="preserve"> </w:t>
            </w:r>
            <w:r w:rsidRPr="00FA2277">
              <w:rPr>
                <w:rFonts w:ascii="Times New Roman" w:hAnsi="Times New Roman" w:cs="Times New Roman"/>
                <w:sz w:val="24"/>
                <w:szCs w:val="24"/>
              </w:rPr>
              <w:t>националном и ЕУ нивоу</w:t>
            </w:r>
          </w:p>
          <w:p w14:paraId="27C9A2E2" w14:textId="1003C0CC" w:rsidR="00F84B54" w:rsidRPr="0073038C" w:rsidRDefault="00FA2277"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Д</w:t>
            </w:r>
            <w:r w:rsidR="00F84B54" w:rsidRPr="0073038C">
              <w:rPr>
                <w:rFonts w:ascii="Times New Roman" w:hAnsi="Times New Roman" w:cs="Times New Roman"/>
                <w:sz w:val="24"/>
                <w:szCs w:val="24"/>
              </w:rPr>
              <w:t>уално образовање</w:t>
            </w:r>
          </w:p>
          <w:p w14:paraId="04DB1BCF" w14:textId="7F6D507D"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 xml:space="preserve">Аутопут Ниш-Приштина (пројекат </w:t>
            </w:r>
            <w:r w:rsidR="00FA2277">
              <w:rPr>
                <w:rFonts w:ascii="Times New Roman" w:hAnsi="Times New Roman" w:cs="Times New Roman"/>
                <w:sz w:val="24"/>
                <w:szCs w:val="24"/>
                <w:lang w:val="sr-Cyrl-RS"/>
              </w:rPr>
              <w:t xml:space="preserve">у </w:t>
            </w:r>
            <w:r w:rsidRPr="00FA2277">
              <w:rPr>
                <w:rFonts w:ascii="Times New Roman" w:hAnsi="Times New Roman" w:cs="Times New Roman"/>
                <w:sz w:val="24"/>
                <w:szCs w:val="24"/>
              </w:rPr>
              <w:t>реализацији)</w:t>
            </w:r>
          </w:p>
          <w:p w14:paraId="74126BFC" w14:textId="7A2473C3" w:rsidR="00F84B54" w:rsidRPr="0073038C"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Развој савремене пољопривредне</w:t>
            </w:r>
            <w:r w:rsidR="00FA2277" w:rsidRPr="00FA2277">
              <w:rPr>
                <w:rFonts w:ascii="Times New Roman" w:hAnsi="Times New Roman" w:cs="Times New Roman"/>
                <w:sz w:val="24"/>
                <w:szCs w:val="24"/>
                <w:lang w:val="sr-Cyrl-RS"/>
              </w:rPr>
              <w:t xml:space="preserve"> </w:t>
            </w:r>
            <w:r w:rsidRPr="00FA2277">
              <w:rPr>
                <w:rFonts w:ascii="Times New Roman" w:hAnsi="Times New Roman" w:cs="Times New Roman"/>
                <w:sz w:val="24"/>
                <w:szCs w:val="24"/>
              </w:rPr>
              <w:t>производње, здраве хране, мини фарми</w:t>
            </w:r>
            <w:r w:rsidR="00FA2277">
              <w:rPr>
                <w:rFonts w:ascii="Times New Roman" w:hAnsi="Times New Roman" w:cs="Times New Roman"/>
                <w:sz w:val="24"/>
                <w:szCs w:val="24"/>
                <w:lang w:val="sr-Cyrl-RS"/>
              </w:rPr>
              <w:t xml:space="preserve"> с</w:t>
            </w:r>
            <w:r w:rsidRPr="00FA2277">
              <w:rPr>
                <w:rFonts w:ascii="Times New Roman" w:hAnsi="Times New Roman" w:cs="Times New Roman"/>
                <w:sz w:val="24"/>
                <w:szCs w:val="24"/>
              </w:rPr>
              <w:t>пецифичних производа, подизање нових</w:t>
            </w:r>
            <w:r w:rsidR="00FA2277">
              <w:rPr>
                <w:rFonts w:ascii="Times New Roman" w:hAnsi="Times New Roman" w:cs="Times New Roman"/>
                <w:sz w:val="24"/>
                <w:szCs w:val="24"/>
                <w:lang w:val="sr-Cyrl-RS"/>
              </w:rPr>
              <w:t xml:space="preserve"> </w:t>
            </w:r>
            <w:r w:rsidRPr="0073038C">
              <w:rPr>
                <w:rFonts w:ascii="Times New Roman" w:hAnsi="Times New Roman" w:cs="Times New Roman"/>
                <w:sz w:val="24"/>
                <w:szCs w:val="24"/>
              </w:rPr>
              <w:t xml:space="preserve">плантажа воћа, пластеника и стакленика </w:t>
            </w:r>
          </w:p>
        </w:tc>
        <w:tc>
          <w:tcPr>
            <w:tcW w:w="4826" w:type="dxa"/>
          </w:tcPr>
          <w:p w14:paraId="01C5A17B" w14:textId="77777777"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Честа нестабилна политичка ситуација</w:t>
            </w:r>
          </w:p>
          <w:p w14:paraId="15D093C6" w14:textId="6379EA9C"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Пад наталитета</w:t>
            </w:r>
          </w:p>
          <w:p w14:paraId="572A5CBB" w14:textId="6D332C4F" w:rsidR="00FA2277" w:rsidRP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Одлазак младих, миграције ка већим центрима и иностранству, негативан природни прираштај и старење села</w:t>
            </w:r>
          </w:p>
          <w:p w14:paraId="7DC1CD39" w14:textId="77777777"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Миграције младих</w:t>
            </w:r>
          </w:p>
          <w:p w14:paraId="0EEB00B1" w14:textId="1B44E500"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Претежно старачка домаћинства</w:t>
            </w:r>
          </w:p>
          <w:p w14:paraId="688638E0" w14:textId="77777777"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Велики број младих неожењених момака на селу</w:t>
            </w:r>
          </w:p>
          <w:p w14:paraId="164F3E57" w14:textId="15E90F2E" w:rsidR="00F84B54" w:rsidRPr="00FA2277" w:rsidRDefault="00F84B54"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 xml:space="preserve">Неуређеност јавних депонија </w:t>
            </w:r>
            <w:r w:rsidR="00FA2277">
              <w:rPr>
                <w:rFonts w:ascii="Times New Roman" w:hAnsi="Times New Roman" w:cs="Times New Roman"/>
                <w:sz w:val="24"/>
                <w:szCs w:val="24"/>
                <w:lang w:val="sr-Cyrl-RS"/>
              </w:rPr>
              <w:t>и велики број дивљих депонија</w:t>
            </w:r>
          </w:p>
          <w:p w14:paraId="791742C7" w14:textId="77777777" w:rsidR="00061458" w:rsidRPr="00061458" w:rsidRDefault="00061458"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П</w:t>
            </w:r>
            <w:r w:rsidRPr="00061458">
              <w:rPr>
                <w:rFonts w:ascii="Times New Roman" w:hAnsi="Times New Roman" w:cs="Times New Roman"/>
                <w:sz w:val="24"/>
                <w:szCs w:val="24"/>
              </w:rPr>
              <w:t xml:space="preserve">ревилика концентрација моћи у </w:t>
            </w:r>
            <w:r w:rsidRPr="00FA2277">
              <w:rPr>
                <w:rFonts w:ascii="Times New Roman" w:hAnsi="Times New Roman" w:cs="Times New Roman"/>
                <w:sz w:val="24"/>
                <w:szCs w:val="24"/>
              </w:rPr>
              <w:t>већим градовима (</w:t>
            </w:r>
            <w:r w:rsidRPr="00061458">
              <w:rPr>
                <w:rFonts w:ascii="Times New Roman" w:hAnsi="Times New Roman" w:cs="Times New Roman"/>
                <w:sz w:val="24"/>
                <w:szCs w:val="24"/>
              </w:rPr>
              <w:t>Београду, Нишу и Новом Саду</w:t>
            </w:r>
            <w:r w:rsidRPr="00FA2277">
              <w:rPr>
                <w:rFonts w:ascii="Times New Roman" w:hAnsi="Times New Roman" w:cs="Times New Roman"/>
                <w:sz w:val="24"/>
                <w:szCs w:val="24"/>
              </w:rPr>
              <w:t>)</w:t>
            </w:r>
          </w:p>
          <w:p w14:paraId="5155E524" w14:textId="77777777" w:rsidR="00061458" w:rsidRDefault="00FA2277" w:rsidP="00E20679">
            <w:pPr>
              <w:pStyle w:val="ListParagraph"/>
              <w:numPr>
                <w:ilvl w:val="1"/>
                <w:numId w:val="6"/>
              </w:numPr>
              <w:spacing w:after="0" w:line="240" w:lineRule="auto"/>
              <w:ind w:left="166" w:hanging="218"/>
              <w:rPr>
                <w:rFonts w:ascii="Times New Roman" w:hAnsi="Times New Roman" w:cs="Times New Roman"/>
                <w:sz w:val="24"/>
                <w:szCs w:val="24"/>
              </w:rPr>
            </w:pPr>
            <w:r w:rsidRPr="00FA2277">
              <w:rPr>
                <w:rFonts w:ascii="Times New Roman" w:hAnsi="Times New Roman" w:cs="Times New Roman"/>
                <w:sz w:val="24"/>
                <w:szCs w:val="24"/>
              </w:rPr>
              <w:t>Пасивност и недовољна укљученост младих у процесе унапређења квалитета живота свих грађана и у процес доношења одлука</w:t>
            </w:r>
          </w:p>
          <w:p w14:paraId="0040DA85" w14:textId="3EDDC864" w:rsidR="00FA2277" w:rsidRPr="00FA2277" w:rsidRDefault="00FA2277" w:rsidP="00E20679">
            <w:pPr>
              <w:pStyle w:val="ListParagraph"/>
              <w:numPr>
                <w:ilvl w:val="1"/>
                <w:numId w:val="6"/>
              </w:numPr>
              <w:spacing w:after="0" w:line="240" w:lineRule="auto"/>
              <w:ind w:left="166" w:hanging="218"/>
              <w:rPr>
                <w:rFonts w:ascii="Times New Roman" w:hAnsi="Times New Roman" w:cs="Times New Roman"/>
                <w:sz w:val="24"/>
                <w:szCs w:val="24"/>
              </w:rPr>
            </w:pPr>
            <w:r>
              <w:rPr>
                <w:rFonts w:ascii="Times New Roman" w:hAnsi="Times New Roman" w:cs="Times New Roman"/>
                <w:sz w:val="24"/>
                <w:szCs w:val="24"/>
                <w:lang w:val="sr-Cyrl-RS"/>
              </w:rPr>
              <w:t>Неповољна здравствена (последично и економска) ситуација на националном и глобалном нивоу, узрокована пандемијом корона вируса</w:t>
            </w:r>
          </w:p>
        </w:tc>
      </w:tr>
    </w:tbl>
    <w:p w14:paraId="011960B1" w14:textId="77777777" w:rsidR="004C23C6" w:rsidRDefault="004C23C6" w:rsidP="00FB6916">
      <w:pPr>
        <w:pStyle w:val="Tekst-1"/>
      </w:pPr>
      <w:r w:rsidRPr="003230EB">
        <w:t>Представљена SWOT анализа указује на унутрашње снаге подручја које је потребно ангажовати у циљу превазилажења слабости, искоришћења прилика и смањења утицаја претњи. Најважнији закључци горе приказане анализе су следећи: Најзаначајније потребе подручја односе се на промоцију и продају локалних производа, пре свега пољопривредно</w:t>
      </w:r>
      <w:r>
        <w:rPr>
          <w:lang w:val="sr-Latn-RS"/>
        </w:rPr>
        <w:t xml:space="preserve"> </w:t>
      </w:r>
      <w:r>
        <w:t>–</w:t>
      </w:r>
      <w:r>
        <w:rPr>
          <w:lang w:val="sr-Latn-RS"/>
        </w:rPr>
        <w:t xml:space="preserve"> </w:t>
      </w:r>
      <w:r w:rsidRPr="003230EB">
        <w:t>прехрамбених, али и занатских (сувенира, лековитог биља и производа органског порекла, производа домаће радиности и других традиционалних производа уз ослањање на дугу произвођачку и занатску традицију).</w:t>
      </w:r>
    </w:p>
    <w:p w14:paraId="32962B96" w14:textId="77777777" w:rsidR="004C23C6" w:rsidRDefault="004C23C6" w:rsidP="00FB6916">
      <w:pPr>
        <w:pStyle w:val="Tekst-1"/>
      </w:pPr>
      <w:r w:rsidRPr="003230EB">
        <w:t>Овде свакако треба искористити могућности формирања кластера произвођача локалних производа и пружаоца угоститељско</w:t>
      </w:r>
      <w:r>
        <w:rPr>
          <w:lang w:val="sr-Latn-RS"/>
        </w:rPr>
        <w:t xml:space="preserve"> </w:t>
      </w:r>
      <w:r>
        <w:t>–</w:t>
      </w:r>
      <w:r>
        <w:rPr>
          <w:lang w:val="sr-Latn-RS"/>
        </w:rPr>
        <w:t xml:space="preserve"> </w:t>
      </w:r>
      <w:r w:rsidRPr="003230EB">
        <w:t xml:space="preserve">туристичких услуга, како би се </w:t>
      </w:r>
      <w:r w:rsidRPr="003230EB">
        <w:lastRenderedPageBreak/>
        <w:t xml:space="preserve">заједничким наступом и предузимањем пре свега продајних и маркетиншких, али и других пословних активности створила повољнија позиција на тржишту за све кроз брендирање и заједничку промоцију производа и услуга локалних произвођача и угоститеља, могло обезбедити повећање прихода од продаје њихових производа и услуга и покренути процедура заштите географског порекла локалних производа. </w:t>
      </w:r>
    </w:p>
    <w:p w14:paraId="5CD4DAAA" w14:textId="77777777" w:rsidR="004C23C6" w:rsidRDefault="004C23C6" w:rsidP="00FB6916">
      <w:pPr>
        <w:pStyle w:val="Tekst-1"/>
      </w:pPr>
      <w:r w:rsidRPr="003230EB">
        <w:t>Такође би се могле покренути и лакше реализовати активности на покретању рада продајног центра за мале произвођаче, што би их у великој мери растеретило трошкова продаје производа и омогућило им да се посвете подизању квалитета производа, односно услуга које пружају. Обједињавањем продајних активности обезбедио би се и заједнички наступ на другим тржиштима ван подручја ЛАГ-а, учешћем на продајним изложбама и сајмовима, као и снабдевањем продавница и трговинских ланаца широм земље.</w:t>
      </w:r>
    </w:p>
    <w:p w14:paraId="75BD846A" w14:textId="77777777" w:rsidR="004C23C6" w:rsidRDefault="004C23C6" w:rsidP="00FB6916">
      <w:pPr>
        <w:pStyle w:val="Tekst-1"/>
      </w:pPr>
      <w:r w:rsidRPr="003230EB">
        <w:t>Удруживањем локалних произвођача и пружаоца услуга у великој мери би се унапредио њихов значај и место у друштвеном окружењу на подручју ЛАГ-а и чиме би себи обезбедили бољу позицију за стварање квалитетних услова за развој предузетништва и преговарање са осталим актерима, пре свега органима локалне власти, чиме би и одлуке које ови органи доносе, а односе се на превазилажење недостатака недовољно развијене комуналне инфраструкуре и компликоване бирократије, биле усмерене у правцу подршке развоју локалног предузетништва. Овакав стратешки правац руралног развоја који је усмерен на унапређење локалног предузетништва и повећање прихода од продаје производа и услуга може у великој мери амортизовати недостатак који се односи на релативно низак ниво зарада на подручју ЛАГ-а, који је испод нивоа просечних месечних нето зарада на подручју Републике Србије и спречити депопулацију подручја одливом становништва ка већим градским центрима у Србији, ради проналажења запослења.</w:t>
      </w:r>
    </w:p>
    <w:p w14:paraId="17509C26" w14:textId="77777777" w:rsidR="004C23C6" w:rsidRDefault="004C23C6" w:rsidP="00FB6916">
      <w:pPr>
        <w:pStyle w:val="Tekst-1"/>
      </w:pPr>
      <w:r w:rsidRPr="003230EB">
        <w:t>Од пресудног значаја за унапређење квалитета живота становника на подручју партнерства је предузимање мера заштите животне средине. Задовољење потреба за квалитетном пијаћом водом, чистим ваздухом, одвођењем отпадних вода, постојањем основне комуналне инфраструктуре и незагађеном животном средином је један од предуслова за останак и живот становника, пре свега младих, на подручју партнерства. Циљ стратегије руралног развоја у том контексту мора бити и подизање свести и то посебно код млађих категорија становништва, о начину очувања и заштите животне средине и коришћењу обновљивих извора енергије. Подручје партнерства има изузетне шансе за остварење овог циља, с обзиром на постојање капацитета обновљивих извора енергије (електране на биомасу, соларне енергије), а до остварења овог циља може се доћи предузимањем активности на едукацији млађих категорија становништва (основношколског и средњошколског) о начинима очувања животне средине, спречавања загађења и промоцији употребе обновљивих извора енергије.</w:t>
      </w:r>
    </w:p>
    <w:p w14:paraId="1D0BECF2" w14:textId="77777777" w:rsidR="004C23C6" w:rsidRDefault="004C23C6" w:rsidP="00FB6916">
      <w:pPr>
        <w:pStyle w:val="Tekst-1"/>
      </w:pPr>
      <w:r w:rsidRPr="003230EB">
        <w:t>Повољан географски положај ЛАГ подручја, које се налази у срцу Топлице, са централним положајем између Ниша и Крушевца, уз близину коридора 10, државних граница према Грчкој, Бугарској и Северној Македонији, представља значајну базу за развој туризма на подручју партнерства. У том смислу, мерама стратегије руралног развоја, неопходно је искористити бројне могућности које пружа ово подручје, а које се односе пре свега на богату традицију и културн</w:t>
      </w:r>
      <w:r>
        <w:rPr>
          <w:lang w:val="sr-Latn-RS"/>
        </w:rPr>
        <w:t>o-</w:t>
      </w:r>
      <w:r w:rsidRPr="003230EB">
        <w:t>историјско наслеђе. Велики број манифестација које се одржавају на подручју партнерства (културне, спортске, верске, гастрономске) представљају значајан туристички потенцијал, који може привући огроман број туриста и унапредити продају локалних производа и угоститељско туристичких услуга.</w:t>
      </w:r>
    </w:p>
    <w:p w14:paraId="123CC0A6" w14:textId="77777777" w:rsidR="004C23C6" w:rsidRDefault="004C23C6" w:rsidP="00FB6916">
      <w:pPr>
        <w:pStyle w:val="Tekst-1"/>
      </w:pPr>
      <w:r w:rsidRPr="003230EB">
        <w:lastRenderedPageBreak/>
        <w:t>Активностима ЛАГ-а би требала да буде пружена пуна подршка у планирању, распореду и организацији манифестација, уз техничку подршку и израду календара манифестација, чиме би се унапредили услови развоја манифестационог туризма. Ове пројектне активности на искоришћавању шанси, уз постојеће ресурсе које пружа подручје партнерства водиле би остварењу циљева на повећању броја посета и ноћења туриста и унапређењу квалитета туристичке понуде подручја, кроз едукацију актера у пружању угоститељско-туристичких услуга и активности на промоцији њихових туристичких капацитета.</w:t>
      </w:r>
    </w:p>
    <w:p w14:paraId="13607134" w14:textId="77777777" w:rsidR="001439DD" w:rsidRDefault="004C23C6" w:rsidP="00FB6916">
      <w:pPr>
        <w:pStyle w:val="Tekst-1"/>
      </w:pPr>
      <w:r w:rsidRPr="003230EB">
        <w:t xml:space="preserve">Пољопривредна производња и обрадиво земљиште изузетног квалитета, на коме се ова производња одвија, је можда и најзначајнији ресурс подручја ЛАГ-а, који би требало на најбољи могући начин искористити, поштујући принципе узгоја без загађења животне средине и користећи предности растуће тражње за пољопривредно-прехрамбеним производима органског порекла. У том смислу би активности требало усмерити на подстицање и промовисање производње органских производа које су доступне већем броју становника, уз примену еколошких мера агротехничке заштите, као што су развој хортикултуре и гајење лековитог и зачинског биља. Те активности би требале бити едукативне, кроз размену знања и унапређење технологије узгоја биља, као и технологије прераде биља и израду </w:t>
      </w:r>
      <w:r w:rsidRPr="001439DD">
        <w:rPr>
          <w:i/>
          <w:iCs/>
        </w:rPr>
        <w:t>hand made</w:t>
      </w:r>
      <w:r w:rsidRPr="003230EB">
        <w:t xml:space="preserve"> производа (ручно рађене козметике и сапуна, етеричних уља, чајева, мешавина зачина, цветних аранжмана и др.) и усмерене пре свега на млађу популацију, жене и дугорочно незапослена лица, ради спречавања депопулације руралног подручја.</w:t>
      </w:r>
      <w:r w:rsidR="001439DD">
        <w:rPr>
          <w:lang w:val="sr-Latn-RS"/>
        </w:rPr>
        <w:t xml:space="preserve"> </w:t>
      </w:r>
      <w:r w:rsidRPr="003230EB">
        <w:t>Тиме би се истовремено отклониле претње настале укрупњавањем пољопривредног земљишта откупом од стране великих земљопоседника. Ово би у крајњој линији водило повећању броја самозапослених из осетљивих категорија становништва и њиховог економског оснаживања, као дугорочном циљу стратегије руралног развоја.</w:t>
      </w:r>
    </w:p>
    <w:p w14:paraId="5D2F389C" w14:textId="778948E5" w:rsidR="004C23C6" w:rsidRPr="003230EB" w:rsidRDefault="004C23C6" w:rsidP="00FB6916">
      <w:pPr>
        <w:pStyle w:val="Tekst-1"/>
      </w:pPr>
      <w:r w:rsidRPr="003230EB">
        <w:t xml:space="preserve">Поред квалитетног обрадивог земљишта за узгој ратарских и воћних култура, подручје партнерства одликује и квалитетно земљиште за узгој винове лозе (прокупачко виногорје). Искоришћавањем овог потенцијала уз развојну шансу коју нуде Топлички виногради и </w:t>
      </w:r>
      <w:r w:rsidR="001439DD">
        <w:t>в</w:t>
      </w:r>
      <w:r w:rsidRPr="003230EB">
        <w:t xml:space="preserve">инарије, може се створити значајан вински бренд на енолошкој мапи Србије и унапредити туристичка понуда, како у области енолошког туризма, тако и уз традиционалну храну и гостопримљивост локалног становништва, у области гастрономског туризма. Све ово има за циљ привлачење туриста и подизање квалитета туристичког производа као развојне шансе подручја партнерства. Укључивањем младих у рад ЛАГ-а кроз пројектне тимове и радионице допринело би се њиховом активном друштвеном животу и подстицању заједничког деловања на стварању и реализацији њихових пословних идеја и међусобној размени знања и искустава, чиме би се дугорочно дао пун допринос подстицању самозапошљавања, укључивању рањивих и маргинализованих група у рад заједнице, унапређењу њиховог социјалног и материјалног статуса и обезбеђењу вишег нивоа квалитета живота на подручју партнерства. </w:t>
      </w:r>
    </w:p>
    <w:p w14:paraId="779B949B" w14:textId="3548261F" w:rsidR="004C23C6" w:rsidRPr="003230EB" w:rsidRDefault="004C23C6" w:rsidP="00FB6916">
      <w:pPr>
        <w:pStyle w:val="Tekst-1"/>
      </w:pPr>
      <w:r w:rsidRPr="003230EB">
        <w:rPr>
          <w:b/>
        </w:rPr>
        <w:t>Визија ЛАГ-а Јастребчанка, као основа развојне стратегије</w:t>
      </w:r>
      <w:r w:rsidRPr="003230EB">
        <w:t xml:space="preserve"> заснива се на ставовима и размишљањима локалног становништва о будућности подручја у коме живи и жели да живи. Након активности спроведених на припреми локалне  стратегије руралног развоја Л</w:t>
      </w:r>
      <w:r w:rsidR="00FB6916">
        <w:t>АГ</w:t>
      </w:r>
      <w:r w:rsidRPr="003230EB">
        <w:t xml:space="preserve"> Јастребчанка, (</w:t>
      </w:r>
      <w:r w:rsidRPr="003230EB">
        <w:rPr>
          <w:lang w:val="sr-Latn-RS"/>
        </w:rPr>
        <w:t>SWOT)</w:t>
      </w:r>
      <w:r w:rsidRPr="003230EB">
        <w:t xml:space="preserve"> и фокус група и др, искристалисала се јасна развојна визија која гласи:</w:t>
      </w:r>
    </w:p>
    <w:p w14:paraId="26A0F9A4" w14:textId="2BEB36A0" w:rsidR="004C23C6" w:rsidRPr="00FB6916" w:rsidRDefault="004C23C6" w:rsidP="00FB6916">
      <w:pPr>
        <w:pStyle w:val="Tekst-1"/>
        <w:rPr>
          <w:b/>
          <w:bCs/>
        </w:rPr>
      </w:pPr>
      <w:r w:rsidRPr="00FB6916">
        <w:rPr>
          <w:b/>
          <w:bCs/>
        </w:rPr>
        <w:t>Лаг Јастребчанка препознатљива микрорегија која је заснована на принципима одрживог развоја уз оптимално коришћење развојних потенцијала и јачање економске конкурентности, развоја људских ресурса и јавних потреба.</w:t>
      </w:r>
    </w:p>
    <w:p w14:paraId="0895E1D2" w14:textId="77777777" w:rsidR="004C23C6" w:rsidRPr="003230EB" w:rsidRDefault="004C23C6" w:rsidP="00FB6916">
      <w:pPr>
        <w:pStyle w:val="Tekst-1"/>
      </w:pPr>
      <w:r w:rsidRPr="003230EB">
        <w:lastRenderedPageBreak/>
        <w:t> За остварење развојне визије  било је потребно  утврдити дугорочне, стратешке развојне циљеве. Стратешки циљеви укључују најважније елементе будућег економског и социјалног развоја подручја чија ће примена обезбедити препознатљивост подручја, економску ефикасност и повећати квалитет живота свих становника на подручју које покрива ЛАГ Јастребчанка. </w:t>
      </w:r>
    </w:p>
    <w:p w14:paraId="7904F593" w14:textId="77777777" w:rsidR="004C23C6" w:rsidRPr="003230EB" w:rsidRDefault="004C23C6" w:rsidP="00FB6916">
      <w:pPr>
        <w:pStyle w:val="Tekst-1"/>
      </w:pPr>
      <w:r w:rsidRPr="003230EB">
        <w:t>Стратешки циљеви засновани су на резултатима анализе досадашњих развојних достигнућа и проблема, анализи тренутног стања подручја,  анализи и заједничкој визији дефинисаној на основу ставова, жеља и разматрања локалног становништва и усклађивању са стратешким документима.</w:t>
      </w:r>
    </w:p>
    <w:p w14:paraId="4E4E02C2" w14:textId="77777777" w:rsidR="004C23C6" w:rsidRPr="003230EB" w:rsidRDefault="004C23C6" w:rsidP="004C23C6">
      <w:pPr>
        <w:spacing w:before="120" w:after="120" w:line="240" w:lineRule="auto"/>
        <w:ind w:firstLine="567"/>
        <w:jc w:val="both"/>
        <w:rPr>
          <w:rFonts w:ascii="Times New Roman" w:eastAsia="Calibri" w:hAnsi="Times New Roman" w:cs="Times New Roman"/>
          <w:sz w:val="24"/>
          <w:szCs w:val="28"/>
          <w:lang w:val="sr-Cyrl-RS"/>
        </w:rPr>
      </w:pPr>
      <w:r w:rsidRPr="003230EB">
        <w:rPr>
          <w:rFonts w:ascii="Times New Roman" w:eastAsia="Calibri" w:hAnsi="Times New Roman" w:cs="Times New Roman"/>
          <w:sz w:val="24"/>
          <w:szCs w:val="28"/>
        </w:rPr>
        <w:t xml:space="preserve"> Стратешки циљеви одређују правац будућих развојних процеса који би  требало да изједначе подручје ЛАГ-а </w:t>
      </w:r>
      <w:r w:rsidRPr="003230EB">
        <w:rPr>
          <w:rFonts w:ascii="Times New Roman" w:eastAsia="Calibri" w:hAnsi="Times New Roman" w:cs="Times New Roman"/>
          <w:sz w:val="24"/>
          <w:szCs w:val="28"/>
          <w:lang w:val="sr-Cyrl-RS"/>
        </w:rPr>
        <w:t>Јастребчанка</w:t>
      </w:r>
      <w:r w:rsidRPr="003230EB">
        <w:rPr>
          <w:rFonts w:ascii="Times New Roman" w:eastAsia="Calibri" w:hAnsi="Times New Roman" w:cs="Times New Roman"/>
          <w:sz w:val="24"/>
          <w:szCs w:val="28"/>
        </w:rPr>
        <w:t xml:space="preserve"> у погледу квалитета живота са развијеним подручјима Републике </w:t>
      </w:r>
      <w:r w:rsidRPr="003230EB">
        <w:rPr>
          <w:rFonts w:ascii="Times New Roman" w:eastAsia="Calibri" w:hAnsi="Times New Roman" w:cs="Times New Roman"/>
          <w:sz w:val="24"/>
          <w:szCs w:val="28"/>
          <w:lang w:val="sr-Cyrl-RS"/>
        </w:rPr>
        <w:t>Србије</w:t>
      </w:r>
      <w:r w:rsidRPr="003230EB">
        <w:rPr>
          <w:rFonts w:ascii="Times New Roman" w:eastAsia="Calibri" w:hAnsi="Times New Roman" w:cs="Times New Roman"/>
          <w:sz w:val="24"/>
          <w:szCs w:val="28"/>
        </w:rPr>
        <w:t>, а самим тим и</w:t>
      </w:r>
      <w:r w:rsidRPr="003230EB">
        <w:rPr>
          <w:rFonts w:ascii="Times New Roman" w:eastAsia="Calibri" w:hAnsi="Times New Roman" w:cs="Times New Roman"/>
          <w:sz w:val="24"/>
          <w:szCs w:val="28"/>
          <w:lang w:val="sr-Cyrl-RS"/>
        </w:rPr>
        <w:t xml:space="preserve"> да</w:t>
      </w:r>
      <w:r w:rsidRPr="003230EB">
        <w:rPr>
          <w:rFonts w:ascii="Times New Roman" w:eastAsia="Calibri" w:hAnsi="Times New Roman" w:cs="Times New Roman"/>
          <w:sz w:val="24"/>
          <w:szCs w:val="28"/>
        </w:rPr>
        <w:t xml:space="preserve"> ово подручје </w:t>
      </w:r>
      <w:r w:rsidRPr="003230EB">
        <w:rPr>
          <w:rFonts w:ascii="Times New Roman" w:eastAsia="Calibri" w:hAnsi="Times New Roman" w:cs="Times New Roman"/>
          <w:sz w:val="24"/>
          <w:szCs w:val="28"/>
          <w:lang w:val="sr-Cyrl-RS"/>
        </w:rPr>
        <w:t>у</w:t>
      </w:r>
      <w:r w:rsidRPr="003230EB">
        <w:rPr>
          <w:rFonts w:ascii="Times New Roman" w:eastAsia="Calibri" w:hAnsi="Times New Roman" w:cs="Times New Roman"/>
          <w:sz w:val="24"/>
          <w:szCs w:val="28"/>
        </w:rPr>
        <w:t>чине привлачнијим за живот како би се зауставил</w:t>
      </w:r>
      <w:r w:rsidRPr="003230EB">
        <w:rPr>
          <w:rFonts w:ascii="Times New Roman" w:eastAsia="Calibri" w:hAnsi="Times New Roman" w:cs="Times New Roman"/>
          <w:sz w:val="24"/>
          <w:szCs w:val="28"/>
          <w:lang w:val="sr-Cyrl-RS"/>
        </w:rPr>
        <w:t>и</w:t>
      </w:r>
      <w:r w:rsidRPr="003230EB">
        <w:rPr>
          <w:rFonts w:ascii="Times New Roman" w:eastAsia="Calibri" w:hAnsi="Times New Roman" w:cs="Times New Roman"/>
          <w:sz w:val="24"/>
          <w:szCs w:val="28"/>
        </w:rPr>
        <w:t xml:space="preserve"> неповољно демографски трендови. </w:t>
      </w:r>
    </w:p>
    <w:p w14:paraId="21CCBE25" w14:textId="77777777" w:rsidR="004C23C6" w:rsidRPr="003230EB" w:rsidRDefault="004C23C6" w:rsidP="00FB6916">
      <w:pPr>
        <w:pStyle w:val="Tekst-1"/>
      </w:pPr>
      <w:r w:rsidRPr="003230EB">
        <w:t>У том смислу су утврђени главни стратешки циљеви Лаг-а Јастребчанка: </w:t>
      </w:r>
    </w:p>
    <w:p w14:paraId="45BF8FB6" w14:textId="77777777" w:rsidR="00FB6916" w:rsidRPr="00FB6916" w:rsidRDefault="004C23C6" w:rsidP="00E20679">
      <w:pPr>
        <w:pStyle w:val="Tekst-1"/>
        <w:numPr>
          <w:ilvl w:val="0"/>
          <w:numId w:val="11"/>
        </w:numPr>
        <w:rPr>
          <w:b/>
          <w:bCs/>
        </w:rPr>
      </w:pPr>
      <w:r w:rsidRPr="00FB6916">
        <w:rPr>
          <w:b/>
          <w:bCs/>
        </w:rPr>
        <w:t>ЦИЉ - Подизање капацитета привреде  и јачање конкурентног пословног окружења</w:t>
      </w:r>
    </w:p>
    <w:p w14:paraId="1D3378B4" w14:textId="4E5632CE" w:rsidR="004C23C6" w:rsidRPr="00FB6916" w:rsidRDefault="004C23C6" w:rsidP="00E20679">
      <w:pPr>
        <w:pStyle w:val="Tekst-1"/>
        <w:numPr>
          <w:ilvl w:val="0"/>
          <w:numId w:val="11"/>
        </w:numPr>
        <w:rPr>
          <w:b/>
          <w:bCs/>
        </w:rPr>
      </w:pPr>
      <w:r w:rsidRPr="00FB6916">
        <w:rPr>
          <w:b/>
          <w:bCs/>
        </w:rPr>
        <w:t>ЦИЉ - Побољшање квалитета живота</w:t>
      </w:r>
    </w:p>
    <w:p w14:paraId="5AAA63A9" w14:textId="6A7CB22E" w:rsidR="004C23C6" w:rsidRPr="00FB6916" w:rsidRDefault="004C23C6" w:rsidP="00E20679">
      <w:pPr>
        <w:pStyle w:val="Tekst-1"/>
        <w:numPr>
          <w:ilvl w:val="0"/>
          <w:numId w:val="11"/>
        </w:numPr>
        <w:rPr>
          <w:b/>
          <w:bCs/>
        </w:rPr>
      </w:pPr>
      <w:r w:rsidRPr="00FB6916">
        <w:rPr>
          <w:b/>
          <w:bCs/>
        </w:rPr>
        <w:t>ЦИЉ - Одрживи развој руралних подручја</w:t>
      </w:r>
    </w:p>
    <w:p w14:paraId="048DA8F6" w14:textId="77777777" w:rsidR="00A42225" w:rsidRDefault="00A42225">
      <w:pPr>
        <w:rPr>
          <w:lang w:val="sr-Latn-RS"/>
        </w:rPr>
      </w:pPr>
    </w:p>
    <w:p w14:paraId="56B2D4F1" w14:textId="77777777" w:rsidR="00A42225" w:rsidRDefault="00A42225">
      <w:pPr>
        <w:rPr>
          <w:lang w:val="sr-Latn-RS"/>
        </w:rPr>
      </w:pPr>
    </w:p>
    <w:p w14:paraId="170BC0F0" w14:textId="4997916D" w:rsidR="00A42225" w:rsidRDefault="00A42225">
      <w:pPr>
        <w:rPr>
          <w:rFonts w:ascii="Times New Roman" w:hAnsi="Times New Roman" w:cs="Times New Roman"/>
          <w:sz w:val="24"/>
          <w:szCs w:val="28"/>
          <w:lang w:val="sr-Latn-RS"/>
        </w:rPr>
      </w:pPr>
      <w:r>
        <w:rPr>
          <w:lang w:val="sr-Latn-RS"/>
        </w:rPr>
        <w:br w:type="page"/>
      </w:r>
    </w:p>
    <w:p w14:paraId="1F51D0CB" w14:textId="641D0899" w:rsidR="00A42225" w:rsidRPr="00FD2A91" w:rsidRDefault="00A42225" w:rsidP="006767C3">
      <w:pPr>
        <w:pStyle w:val="-1"/>
      </w:pPr>
      <w:bookmarkStart w:id="14" w:name="_Toc55208028"/>
      <w:r w:rsidRPr="00FD2A91">
        <w:lastRenderedPageBreak/>
        <w:t xml:space="preserve">Опис Локалне стратегије </w:t>
      </w:r>
      <w:r w:rsidRPr="006767C3">
        <w:t>руралног</w:t>
      </w:r>
      <w:r w:rsidRPr="00FD2A91">
        <w:t xml:space="preserve"> развоја и њених циљева</w:t>
      </w:r>
      <w:bookmarkEnd w:id="14"/>
    </w:p>
    <w:p w14:paraId="73DFD716" w14:textId="77777777" w:rsidR="00831EA0" w:rsidRPr="00876E23" w:rsidRDefault="00831EA0" w:rsidP="00831EA0">
      <w:pPr>
        <w:pStyle w:val="-2"/>
        <w:rPr>
          <w:b w:val="0"/>
          <w:szCs w:val="24"/>
        </w:rPr>
      </w:pPr>
      <w:bookmarkStart w:id="15" w:name="_Toc55060759"/>
      <w:bookmarkStart w:id="16" w:name="_Toc55208029"/>
      <w:r w:rsidRPr="00876E23">
        <w:rPr>
          <w:szCs w:val="24"/>
        </w:rPr>
        <w:t xml:space="preserve">а) Опис </w:t>
      </w:r>
      <w:r w:rsidRPr="00831EA0">
        <w:t>интегрисаног</w:t>
      </w:r>
      <w:r w:rsidRPr="00876E23">
        <w:rPr>
          <w:szCs w:val="24"/>
        </w:rPr>
        <w:t xml:space="preserve"> и иновативног карактера стратегије</w:t>
      </w:r>
      <w:bookmarkEnd w:id="15"/>
      <w:r w:rsidRPr="00876E23">
        <w:rPr>
          <w:szCs w:val="24"/>
        </w:rPr>
        <w:t xml:space="preserve"> и хијерархије циљева, укључујући јасне и мерљиве показатеље индикаторе за резултате</w:t>
      </w:r>
      <w:bookmarkEnd w:id="16"/>
    </w:p>
    <w:p w14:paraId="6D4B5642" w14:textId="77777777" w:rsidR="00831EA0" w:rsidRPr="00876E23" w:rsidRDefault="00831EA0" w:rsidP="00831EA0">
      <w:pPr>
        <w:pStyle w:val="Tekst-1"/>
      </w:pPr>
      <w:r w:rsidRPr="00876E23">
        <w:t xml:space="preserve">У програмској персперктиви Европске уније која је на истеку (2014-2020.), као и оној која нас очекује у наредном периоду, велика пажња поклања се </w:t>
      </w:r>
      <w:r w:rsidRPr="00876E23">
        <w:rPr>
          <w:b/>
        </w:rPr>
        <w:t>иновацијама</w:t>
      </w:r>
      <w:r w:rsidRPr="00876E23">
        <w:t xml:space="preserve">. Овај принцип заступљен је у LEADER иницијативи, где се акценат ставља на иновације на одређеном подручју кроз имплементацију нових решења за постојеће проблеме, као и развој економије засноване на знању и иновацијама. </w:t>
      </w:r>
    </w:p>
    <w:p w14:paraId="7E391823" w14:textId="77777777" w:rsidR="00831EA0" w:rsidRPr="00876E23" w:rsidRDefault="00831EA0" w:rsidP="00831EA0">
      <w:pPr>
        <w:pStyle w:val="Tekst-1"/>
      </w:pPr>
      <w:r w:rsidRPr="00876E23">
        <w:t xml:space="preserve">ЛАГ „Јастребчанка“ је препознао могућност за увођење иновативног приступа на свом подручју. Тако, циљеви и активности обухватају производњу нових производа и услуга, као и нових начина сарадње и учења кроз креирање простора и могућности које до сада нису постојале на  овом подручју. </w:t>
      </w:r>
    </w:p>
    <w:p w14:paraId="65F7D596" w14:textId="77777777" w:rsidR="0050165E" w:rsidRDefault="00831EA0" w:rsidP="00831EA0">
      <w:pPr>
        <w:pStyle w:val="Tekst-1"/>
      </w:pPr>
      <w:r w:rsidRPr="00876E23">
        <w:t>Примена принципа „одоздо према горе“ ЛЕАДЕР приступа покренута је 1991. године, као модел активног учешћа локалних заједница у стварању руралног развоја, односно стварању сопствене будућности. Повратне информације са организованих заједничких састанака у процесу израде стратегије локалног развоја ЛАГ-а Јастребчанка показују да је ЛЕАДЕР приступ неопходнан алат који добро функционише у различитим ситуацијама и областима, а руралне политике прилагођава потребама појединих руралних подручја са свим њиховим специфичностима. Примена ЛЕАДЕР приступа у анализи стања по појединим секторима била је полазна основа за дефинисање стратешких циљева, мера и прихватљивих и изводљивих идеја за развој пројеката.</w:t>
      </w:r>
    </w:p>
    <w:p w14:paraId="6F5FE1C9" w14:textId="6FC9D40D" w:rsidR="00831EA0" w:rsidRPr="00876E23" w:rsidRDefault="00831EA0" w:rsidP="00831EA0">
      <w:pPr>
        <w:pStyle w:val="Tekst-1"/>
      </w:pPr>
      <w:r w:rsidRPr="00876E23">
        <w:t xml:space="preserve">Подстицањем локалног учешћа у припреми и спровођењу стратегије одрживог развоја, драгоцен ресурс је коришћен у креирању будуће руралне политике на подручју ЛАГ-а Јастребчанка. Приступ одоздо према горе примењен је током развоја стратегије. Приступ је примењен организовањем састанака у општинама чланицама ЛАГ-а, како би локални актери били директно укључени у процес израде стратегије и били у прилици да сами постављају приоритете који су применљиви и изводљиви. Овај приступ омогућио је директну размену информација о структурним проблемима у пољопривреди, али и о многим могућностима за побољшање квалитета живота у овој области. Укључивање представника јавних и приватних институција, представника цивилног сектора, представника различитих интересних група нагласило је потребу за додатном изградњом капацитета у заједници. То укључује образовање, подизање свести, учешће и мобилизација локалног становништва ради идентификовања снага и слабости подручја. На овај начин утврђени су јасни критеријуми за реализацију предложених активности  на локалном нивоу којима ће допринети да се остваре планирани стратешки циљеви. Учешће ових представника није било ограничено на почетни или информативни састанак, већ је трајало током читавог процеса израде- развоја стратегије. Коришћењем интерактивне комуникације, међусобног дијалога и преговарања отворена су важна питања везана за транспарентност целокупног процес и узајамну подршку. Овај приступ појашњава улогу ЛАГ-а, начин управљања, моделе узајамне подршке јавног, приватног и цивилног сектора у вези са расположивим људским, материјална и финансијска средства. Подигнута је свест и могућности за заинтересоване стране да се придруже локалним актерима у заједничким пројектима, мултисекторским активностима за побољшање конкурентности подручја, као и осећај заједничког власништва, постизања синергија и јачања међусобног поверења. Овакав </w:t>
      </w:r>
      <w:r w:rsidRPr="00876E23">
        <w:lastRenderedPageBreak/>
        <w:t>приступ изради плана развоја локалне заједнице јесте иновативан јер су  актери сва три сектора били активни  у дефинисању исте.</w:t>
      </w:r>
    </w:p>
    <w:p w14:paraId="4C65CB96" w14:textId="77777777" w:rsidR="00831EA0" w:rsidRPr="0050165E" w:rsidRDefault="00831EA0" w:rsidP="0050165E">
      <w:pPr>
        <w:pStyle w:val="Tekst-1"/>
        <w:rPr>
          <w:b/>
          <w:bCs/>
        </w:rPr>
      </w:pPr>
      <w:r w:rsidRPr="0050165E">
        <w:rPr>
          <w:b/>
          <w:bCs/>
        </w:rPr>
        <w:t>Хијерархија стратешких циљева ЛАГ-а Јастребчанка :</w:t>
      </w:r>
    </w:p>
    <w:p w14:paraId="78402529" w14:textId="430C3ADA" w:rsidR="00831EA0" w:rsidRPr="00876E23" w:rsidRDefault="00831EA0" w:rsidP="00E20679">
      <w:pPr>
        <w:pStyle w:val="Tekst-1"/>
        <w:numPr>
          <w:ilvl w:val="0"/>
          <w:numId w:val="8"/>
        </w:numPr>
        <w:rPr>
          <w:szCs w:val="24"/>
        </w:rPr>
      </w:pPr>
      <w:r w:rsidRPr="00876E23">
        <w:rPr>
          <w:szCs w:val="24"/>
        </w:rPr>
        <w:t>Подизање капацитета привреде  и јачање конкурентног пословног окружења</w:t>
      </w:r>
    </w:p>
    <w:p w14:paraId="4FDE96C5" w14:textId="5057F816" w:rsidR="00831EA0" w:rsidRPr="00876E23" w:rsidRDefault="00831EA0" w:rsidP="00E20679">
      <w:pPr>
        <w:pStyle w:val="Tekst-1"/>
        <w:numPr>
          <w:ilvl w:val="0"/>
          <w:numId w:val="8"/>
        </w:numPr>
        <w:rPr>
          <w:szCs w:val="24"/>
        </w:rPr>
      </w:pPr>
      <w:r w:rsidRPr="00876E23">
        <w:rPr>
          <w:szCs w:val="24"/>
        </w:rPr>
        <w:t>Побољшање квалитета живота</w:t>
      </w:r>
    </w:p>
    <w:p w14:paraId="294AED97" w14:textId="59D55761" w:rsidR="00831EA0" w:rsidRPr="00876E23" w:rsidRDefault="00831EA0" w:rsidP="00E20679">
      <w:pPr>
        <w:pStyle w:val="Tekst-1"/>
        <w:numPr>
          <w:ilvl w:val="0"/>
          <w:numId w:val="8"/>
        </w:numPr>
        <w:rPr>
          <w:szCs w:val="24"/>
        </w:rPr>
      </w:pPr>
      <w:r w:rsidRPr="00876E23">
        <w:rPr>
          <w:szCs w:val="24"/>
        </w:rPr>
        <w:t>Одрживи развој руралних подручја</w:t>
      </w:r>
    </w:p>
    <w:p w14:paraId="3A899485" w14:textId="77777777" w:rsidR="00831EA0" w:rsidRPr="00876E23" w:rsidRDefault="00831EA0" w:rsidP="00831EA0">
      <w:pPr>
        <w:rPr>
          <w:rFonts w:ascii="Times New Roman" w:hAnsi="Times New Roman" w:cs="Times New Roman"/>
          <w:sz w:val="24"/>
          <w:szCs w:val="24"/>
          <w:lang w:val="sr-Cyrl-RS"/>
        </w:rPr>
      </w:pPr>
    </w:p>
    <w:p w14:paraId="4B1383EA" w14:textId="3FE05463" w:rsidR="00831EA0" w:rsidRPr="00876E23" w:rsidRDefault="00831EA0" w:rsidP="0050165E">
      <w:pPr>
        <w:pStyle w:val="a0"/>
      </w:pPr>
      <w:r w:rsidRPr="00876E23">
        <w:t>Табела</w:t>
      </w:r>
      <w:r w:rsidR="00012EBF">
        <w:t xml:space="preserve"> 12.</w:t>
      </w:r>
      <w:r w:rsidRPr="00876E23">
        <w:t xml:space="preserve"> Мерљиви показатељи - ЛАГ „Јастребчанка“</w:t>
      </w:r>
    </w:p>
    <w:tbl>
      <w:tblPr>
        <w:tblStyle w:val="TableGrid"/>
        <w:tblW w:w="5000" w:type="pct"/>
        <w:tblInd w:w="120" w:type="dxa"/>
        <w:tblLook w:val="04A0" w:firstRow="1" w:lastRow="0" w:firstColumn="1" w:lastColumn="0" w:noHBand="0" w:noVBand="1"/>
      </w:tblPr>
      <w:tblGrid>
        <w:gridCol w:w="9243"/>
      </w:tblGrid>
      <w:tr w:rsidR="00831EA0" w:rsidRPr="00876E23" w14:paraId="2E3DA04F" w14:textId="77777777" w:rsidTr="0050165E">
        <w:trPr>
          <w:trHeight w:val="828"/>
        </w:trPr>
        <w:tc>
          <w:tcPr>
            <w:tcW w:w="8323" w:type="dxa"/>
            <w:tcBorders>
              <w:bottom w:val="single" w:sz="4" w:space="0" w:color="auto"/>
            </w:tcBorders>
            <w:shd w:val="clear" w:color="auto" w:fill="4472C4" w:themeFill="accent1"/>
            <w:vAlign w:val="center"/>
          </w:tcPr>
          <w:p w14:paraId="46B87A6E" w14:textId="77777777" w:rsidR="00831EA0" w:rsidRPr="00876E23" w:rsidRDefault="00831EA0" w:rsidP="0050165E">
            <w:pPr>
              <w:rPr>
                <w:rFonts w:ascii="Times New Roman" w:hAnsi="Times New Roman" w:cs="Times New Roman"/>
                <w:b/>
                <w:sz w:val="24"/>
                <w:szCs w:val="24"/>
                <w:lang w:val="sr-Cyrl-RS"/>
              </w:rPr>
            </w:pPr>
            <w:r w:rsidRPr="00876E23">
              <w:rPr>
                <w:rFonts w:ascii="Times New Roman" w:hAnsi="Times New Roman" w:cs="Times New Roman"/>
                <w:b/>
                <w:sz w:val="24"/>
                <w:szCs w:val="24"/>
                <w:lang w:val="sr-Cyrl-RS"/>
              </w:rPr>
              <w:t>Мерљиви показатељи</w:t>
            </w:r>
          </w:p>
        </w:tc>
      </w:tr>
      <w:tr w:rsidR="00831EA0" w:rsidRPr="0050165E" w14:paraId="489148C4" w14:textId="77777777" w:rsidTr="0050165E">
        <w:trPr>
          <w:trHeight w:val="828"/>
        </w:trPr>
        <w:tc>
          <w:tcPr>
            <w:tcW w:w="8323" w:type="dxa"/>
            <w:tcBorders>
              <w:bottom w:val="single" w:sz="4" w:space="0" w:color="auto"/>
            </w:tcBorders>
            <w:shd w:val="clear" w:color="auto" w:fill="BDD6EE" w:themeFill="accent5" w:themeFillTint="66"/>
            <w:vAlign w:val="center"/>
          </w:tcPr>
          <w:p w14:paraId="0D3BC215"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rPr>
              <w:t>Повећање прихода од продаје и услуга малих локалних произвођача за 10%;</w:t>
            </w:r>
          </w:p>
        </w:tc>
      </w:tr>
      <w:tr w:rsidR="00831EA0" w:rsidRPr="0050165E" w14:paraId="3079A72A" w14:textId="77777777" w:rsidTr="0050165E">
        <w:trPr>
          <w:trHeight w:val="828"/>
        </w:trPr>
        <w:tc>
          <w:tcPr>
            <w:tcW w:w="8323" w:type="dxa"/>
            <w:tcBorders>
              <w:top w:val="single" w:sz="4" w:space="0" w:color="auto"/>
              <w:bottom w:val="single" w:sz="4" w:space="0" w:color="auto"/>
            </w:tcBorders>
            <w:shd w:val="clear" w:color="auto" w:fill="BDD6EE" w:themeFill="accent5" w:themeFillTint="66"/>
            <w:vAlign w:val="center"/>
          </w:tcPr>
          <w:p w14:paraId="08A15655"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rPr>
              <w:t xml:space="preserve">Повећан број запослених и самозапослених из </w:t>
            </w:r>
            <w:r w:rsidRPr="0050165E">
              <w:rPr>
                <w:rFonts w:ascii="Times New Roman" w:hAnsi="Times New Roman" w:cs="Times New Roman"/>
                <w:bCs/>
                <w:sz w:val="24"/>
                <w:szCs w:val="24"/>
                <w:lang w:val="sr-Cyrl-RS"/>
              </w:rPr>
              <w:t>руралних средина</w:t>
            </w:r>
            <w:r w:rsidRPr="0050165E">
              <w:rPr>
                <w:rFonts w:ascii="Times New Roman" w:hAnsi="Times New Roman" w:cs="Times New Roman"/>
                <w:bCs/>
                <w:sz w:val="24"/>
                <w:szCs w:val="24"/>
              </w:rPr>
              <w:t xml:space="preserve"> за 5%;</w:t>
            </w:r>
          </w:p>
        </w:tc>
      </w:tr>
      <w:tr w:rsidR="00831EA0" w:rsidRPr="0050165E" w14:paraId="3D94EBD2" w14:textId="77777777" w:rsidTr="0050165E">
        <w:trPr>
          <w:trHeight w:val="828"/>
        </w:trPr>
        <w:tc>
          <w:tcPr>
            <w:tcW w:w="8323" w:type="dxa"/>
            <w:tcBorders>
              <w:top w:val="single" w:sz="4" w:space="0" w:color="auto"/>
              <w:bottom w:val="single" w:sz="4" w:space="0" w:color="auto"/>
            </w:tcBorders>
            <w:shd w:val="clear" w:color="auto" w:fill="BDD6EE" w:themeFill="accent5" w:themeFillTint="66"/>
            <w:vAlign w:val="center"/>
          </w:tcPr>
          <w:p w14:paraId="460EB725"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rPr>
              <w:t>Повећање свести и обучености за заштиту</w:t>
            </w:r>
            <w:r w:rsidRPr="0050165E">
              <w:rPr>
                <w:rFonts w:ascii="Times New Roman" w:hAnsi="Times New Roman" w:cs="Times New Roman"/>
                <w:bCs/>
                <w:sz w:val="24"/>
                <w:szCs w:val="24"/>
                <w:lang w:val="sr-Cyrl-RS"/>
              </w:rPr>
              <w:t xml:space="preserve"> природе,</w:t>
            </w:r>
            <w:r w:rsidRPr="0050165E">
              <w:rPr>
                <w:rFonts w:ascii="Times New Roman" w:hAnsi="Times New Roman" w:cs="Times New Roman"/>
                <w:bCs/>
                <w:sz w:val="24"/>
                <w:szCs w:val="24"/>
              </w:rPr>
              <w:t xml:space="preserve"> животне средине</w:t>
            </w:r>
            <w:r w:rsidRPr="0050165E">
              <w:rPr>
                <w:rFonts w:ascii="Times New Roman" w:hAnsi="Times New Roman" w:cs="Times New Roman"/>
                <w:bCs/>
                <w:sz w:val="24"/>
                <w:szCs w:val="24"/>
                <w:lang w:val="sr-Cyrl-RS"/>
              </w:rPr>
              <w:t xml:space="preserve"> и климатске промене нарочито</w:t>
            </w:r>
            <w:r w:rsidRPr="0050165E">
              <w:rPr>
                <w:rFonts w:ascii="Times New Roman" w:hAnsi="Times New Roman" w:cs="Times New Roman"/>
                <w:bCs/>
                <w:sz w:val="24"/>
                <w:szCs w:val="24"/>
              </w:rPr>
              <w:t xml:space="preserve"> међу млађим категоријама становништва</w:t>
            </w:r>
            <w:r w:rsidRPr="0050165E">
              <w:rPr>
                <w:rFonts w:ascii="Times New Roman" w:hAnsi="Times New Roman" w:cs="Times New Roman"/>
                <w:bCs/>
                <w:sz w:val="24"/>
                <w:szCs w:val="24"/>
                <w:lang w:val="sr-Cyrl-RS"/>
              </w:rPr>
              <w:t xml:space="preserve"> ( број обука, предлога пројекта и акција натерену, очекује се минум 20 активности)</w:t>
            </w:r>
          </w:p>
        </w:tc>
      </w:tr>
      <w:tr w:rsidR="00831EA0" w:rsidRPr="0050165E" w14:paraId="2D618092" w14:textId="77777777" w:rsidTr="0050165E">
        <w:trPr>
          <w:trHeight w:val="828"/>
        </w:trPr>
        <w:tc>
          <w:tcPr>
            <w:tcW w:w="8323" w:type="dxa"/>
            <w:tcBorders>
              <w:top w:val="single" w:sz="4" w:space="0" w:color="auto"/>
              <w:bottom w:val="single" w:sz="4" w:space="0" w:color="auto"/>
            </w:tcBorders>
            <w:shd w:val="clear" w:color="auto" w:fill="BDD6EE" w:themeFill="accent5" w:themeFillTint="66"/>
            <w:vAlign w:val="center"/>
          </w:tcPr>
          <w:p w14:paraId="1527A7EA"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rPr>
              <w:t>Подизање квалитета туристичке понуде</w:t>
            </w:r>
            <w:r w:rsidRPr="0050165E">
              <w:rPr>
                <w:rFonts w:ascii="Times New Roman" w:hAnsi="Times New Roman" w:cs="Times New Roman"/>
                <w:bCs/>
                <w:sz w:val="24"/>
                <w:szCs w:val="24"/>
                <w:lang w:val="sr-Cyrl-RS"/>
              </w:rPr>
              <w:t xml:space="preserve"> ( потписана минимум три споразума о локалној - регионалној сарадњи; спроведене минимум 5 стручне обуке; пораст регистрованих-категорисаних домаћинства за сеоски туризам за најманје 5%) </w:t>
            </w:r>
          </w:p>
        </w:tc>
      </w:tr>
      <w:tr w:rsidR="00831EA0" w:rsidRPr="0050165E" w14:paraId="36DDF04E" w14:textId="77777777" w:rsidTr="0050165E">
        <w:trPr>
          <w:trHeight w:val="828"/>
        </w:trPr>
        <w:tc>
          <w:tcPr>
            <w:tcW w:w="8323" w:type="dxa"/>
            <w:tcBorders>
              <w:top w:val="single" w:sz="4" w:space="0" w:color="auto"/>
              <w:bottom w:val="single" w:sz="4" w:space="0" w:color="auto"/>
            </w:tcBorders>
            <w:shd w:val="clear" w:color="auto" w:fill="BDD6EE" w:themeFill="accent5" w:themeFillTint="66"/>
            <w:vAlign w:val="center"/>
          </w:tcPr>
          <w:p w14:paraId="108E1C3C"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lang w:val="sr-Cyrl-RS"/>
              </w:rPr>
              <w:t>Пословно повезивање и умрежавање ( формирана најмање 2 партнерства)</w:t>
            </w:r>
          </w:p>
        </w:tc>
      </w:tr>
      <w:tr w:rsidR="00831EA0" w:rsidRPr="0050165E" w14:paraId="157B0711" w14:textId="77777777" w:rsidTr="0050165E">
        <w:trPr>
          <w:trHeight w:val="828"/>
        </w:trPr>
        <w:tc>
          <w:tcPr>
            <w:tcW w:w="8323" w:type="dxa"/>
            <w:tcBorders>
              <w:top w:val="single" w:sz="4" w:space="0" w:color="auto"/>
              <w:bottom w:val="single" w:sz="4" w:space="0" w:color="auto"/>
            </w:tcBorders>
            <w:shd w:val="clear" w:color="auto" w:fill="BDD6EE" w:themeFill="accent5" w:themeFillTint="66"/>
            <w:vAlign w:val="center"/>
          </w:tcPr>
          <w:p w14:paraId="7B58B740"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lang w:val="sr-Cyrl-RS"/>
              </w:rPr>
              <w:t>Повећана диверзификација руралне економије ( израђено најмање 10 пројектних идеја за  полјопривредна домачинства и рурално становништво)</w:t>
            </w:r>
          </w:p>
        </w:tc>
      </w:tr>
      <w:tr w:rsidR="00831EA0" w:rsidRPr="0050165E" w14:paraId="1ED5AE72" w14:textId="77777777" w:rsidTr="0050165E">
        <w:trPr>
          <w:trHeight w:val="828"/>
        </w:trPr>
        <w:tc>
          <w:tcPr>
            <w:tcW w:w="8323" w:type="dxa"/>
            <w:tcBorders>
              <w:top w:val="single" w:sz="4" w:space="0" w:color="auto"/>
            </w:tcBorders>
            <w:shd w:val="clear" w:color="auto" w:fill="BDD6EE" w:themeFill="accent5" w:themeFillTint="66"/>
            <w:vAlign w:val="center"/>
          </w:tcPr>
          <w:p w14:paraId="2BCAD18C" w14:textId="77777777" w:rsidR="00831EA0" w:rsidRPr="0050165E" w:rsidRDefault="00831EA0" w:rsidP="0050165E">
            <w:pPr>
              <w:rPr>
                <w:rFonts w:ascii="Times New Roman" w:hAnsi="Times New Roman" w:cs="Times New Roman"/>
                <w:bCs/>
                <w:sz w:val="24"/>
                <w:szCs w:val="24"/>
                <w:lang w:val="sr-Cyrl-RS"/>
              </w:rPr>
            </w:pPr>
            <w:r w:rsidRPr="0050165E">
              <w:rPr>
                <w:rFonts w:ascii="Times New Roman" w:hAnsi="Times New Roman" w:cs="Times New Roman"/>
                <w:bCs/>
                <w:sz w:val="24"/>
                <w:szCs w:val="24"/>
                <w:lang w:val="sr-Cyrl-RS"/>
              </w:rPr>
              <w:t xml:space="preserve">Побољшан квалитетживота у руралним срединама ( синергијски усаглашено и израђено минимум три посебна програма за маргинализоване групе становништва)  </w:t>
            </w:r>
          </w:p>
        </w:tc>
      </w:tr>
    </w:tbl>
    <w:p w14:paraId="2A877B85" w14:textId="77777777" w:rsidR="00831EA0" w:rsidRPr="00876E23" w:rsidRDefault="00831EA0" w:rsidP="0050165E">
      <w:pPr>
        <w:pStyle w:val="-2"/>
      </w:pPr>
      <w:bookmarkStart w:id="17" w:name="_Toc55060760"/>
      <w:bookmarkStart w:id="18" w:name="_Toc55208030"/>
      <w:r w:rsidRPr="00876E23">
        <w:t>б) Опис кохерентности ЛСРР са релевантним националним стратегијама и програмима</w:t>
      </w:r>
      <w:bookmarkEnd w:id="17"/>
      <w:bookmarkEnd w:id="18"/>
    </w:p>
    <w:p w14:paraId="2A9A57FD" w14:textId="77777777" w:rsidR="00831EA0" w:rsidRPr="00876E23" w:rsidRDefault="00831EA0" w:rsidP="0050165E">
      <w:pPr>
        <w:pStyle w:val="-3"/>
        <w:rPr>
          <w:vertAlign w:val="superscript"/>
        </w:rPr>
      </w:pPr>
      <w:bookmarkStart w:id="19" w:name="_Toc55060762"/>
      <w:bookmarkStart w:id="20" w:name="_Toc55208031"/>
      <w:r w:rsidRPr="00876E23">
        <w:t>Усаглашеност циљева ЛСРР са развојним стратегијама и програмима</w:t>
      </w:r>
      <w:bookmarkEnd w:id="19"/>
      <w:bookmarkEnd w:id="20"/>
    </w:p>
    <w:p w14:paraId="2D123404" w14:textId="77777777" w:rsidR="0050165E" w:rsidRDefault="00831EA0" w:rsidP="0050165E">
      <w:pPr>
        <w:pStyle w:val="Tekst-1"/>
      </w:pPr>
      <w:r w:rsidRPr="00876E23">
        <w:t>Приликом одабира приоритетних области за развој подручја ЛАГ „Јастребчанка” за период 2020-2024. и дефинисања циљева унутар истих, вођено је рачуна о њиховој усаглашености са стратешким приоритетима и правцима који су утврђени релевантним развојним стратегијама и програмима вишег реда. На тај начин, осигуран је јединствен приступ и заједничко деловања свих актера у планском систему на пољу руралног развоја, како на нижем, тако и на вишем нивоу.</w:t>
      </w:r>
    </w:p>
    <w:p w14:paraId="4F8090C3" w14:textId="5B2171A8" w:rsidR="00831EA0" w:rsidRPr="00876E23" w:rsidRDefault="00831EA0" w:rsidP="0050165E">
      <w:pPr>
        <w:pStyle w:val="Tekst-1"/>
        <w:rPr>
          <w:bCs/>
          <w:szCs w:val="24"/>
        </w:rPr>
      </w:pPr>
      <w:r w:rsidRPr="00876E23">
        <w:rPr>
          <w:bCs/>
          <w:szCs w:val="24"/>
        </w:rPr>
        <w:t xml:space="preserve">Конкретно, реч је о следећим стратешким документима и програмима: </w:t>
      </w:r>
    </w:p>
    <w:p w14:paraId="123E7B1C" w14:textId="77777777" w:rsidR="00831EA0" w:rsidRPr="00876E23" w:rsidRDefault="00831EA0" w:rsidP="0050165E">
      <w:pPr>
        <w:pStyle w:val="Tekst-1"/>
      </w:pPr>
      <w:r w:rsidRPr="00876E23">
        <w:lastRenderedPageBreak/>
        <w:t>ЕУ ИПАРД II Програм, Стратегија пољопривреде и руралног развоја Републике Србије за период 2014–2024. године, Национални програм руралног развоја 2018-2020. године.</w:t>
      </w:r>
    </w:p>
    <w:p w14:paraId="020594BA" w14:textId="77777777" w:rsidR="00831EA0" w:rsidRPr="00876E23" w:rsidRDefault="00831EA0" w:rsidP="0050165E">
      <w:pPr>
        <w:pStyle w:val="Tekst-1"/>
      </w:pPr>
      <w:r w:rsidRPr="00876E23">
        <w:t>Република Србија је тако, 2012. године, стицањем статуса земље кандидата за чланство у Европској унији, променила своја дотадашња права и обавезе у процесу придруживања и преузела нову улогу у погледу апсорпције ЕУ средстава и финансијских могућности које се нуде за јавни, приватни и цивилни сектор у области пољопривреде и руралног развоја. ЕУ приступ који то подржава јесте „LEADER“ концепт, заснован на имплементацији Локалних стратегија руралног развоја којима управљају ЛАГ-ови, а ЕУ претприступни инструмент намењен за рурални развој Републике Србије у актуелној финансијској перспективи је ИПАРД II Програм за период 2014 - 2020 („LEADER“ подршка биће омогућена само кроз ИПАРД II програм). Усвојен је 2015. године одлуком Европске комисије а улогу ИПАРД агенције обавља Управа за аграрна плаћања, као образован орган управе у саставу Министарства пољопривреде, водопривреде и шумарства.</w:t>
      </w:r>
    </w:p>
    <w:p w14:paraId="2B2755D9" w14:textId="77777777" w:rsidR="00831EA0" w:rsidRPr="00876E23" w:rsidRDefault="00831EA0" w:rsidP="0050165E">
      <w:pPr>
        <w:pStyle w:val="Tekst-1"/>
        <w:rPr>
          <w:b/>
          <w:bCs/>
        </w:rPr>
      </w:pPr>
      <w:r w:rsidRPr="00876E23">
        <w:t xml:space="preserve">Основни национални стратешки документ који дугорочно регулише област пољопривреде и руралног развоја јесте Стратегија пољопривреде и руралног развоја </w:t>
      </w:r>
      <w:r w:rsidRPr="00876E23">
        <w:rPr>
          <w:bCs/>
        </w:rPr>
        <w:t>Републике Србије за период 2014–2024</w:t>
      </w:r>
      <w:r w:rsidRPr="00876E23">
        <w:t>.</w:t>
      </w:r>
      <w:r w:rsidRPr="00876E23">
        <w:rPr>
          <w:b/>
        </w:rPr>
        <w:t xml:space="preserve"> </w:t>
      </w:r>
      <w:r w:rsidRPr="00876E23">
        <w:t>године.</w:t>
      </w:r>
      <w:r w:rsidRPr="00876E23">
        <w:rPr>
          <w:b/>
        </w:rPr>
        <w:t xml:space="preserve"> </w:t>
      </w:r>
    </w:p>
    <w:p w14:paraId="1F153B1B" w14:textId="77777777" w:rsidR="00831EA0" w:rsidRPr="00876E23" w:rsidRDefault="00831EA0" w:rsidP="0050165E">
      <w:pPr>
        <w:pStyle w:val="Tekst-1"/>
      </w:pPr>
      <w:r w:rsidRPr="00876E23">
        <w:t>Закон о пољопривреди и руралном развоју прописао је и доношење Националног програма руралног развоја од 2018. до 2020. године</w:t>
      </w:r>
      <w:r w:rsidRPr="00876E23">
        <w:rPr>
          <w:b/>
        </w:rPr>
        <w:t xml:space="preserve"> </w:t>
      </w:r>
      <w:r w:rsidRPr="00876E23">
        <w:t>који дефинише средњорочне и</w:t>
      </w:r>
      <w:r w:rsidRPr="00876E23">
        <w:rPr>
          <w:b/>
        </w:rPr>
        <w:t xml:space="preserve"> </w:t>
      </w:r>
      <w:r w:rsidRPr="00876E23">
        <w:t>краткорочне правце развоја руралних подручја и детаљније описује начине спровођења мера руралног развоја за програмски период. Истовремено, документ је усклађен са стратешким оквиром Заједничке пољопривредне политике Европске уније за период 2014-2020. године, уважавајући специфичне потребе и приоритете развоја пољопривреде и руралних подручја Републике Србије.</w:t>
      </w:r>
    </w:p>
    <w:p w14:paraId="0C893A0D" w14:textId="77777777" w:rsidR="00831EA0" w:rsidRPr="00876E23" w:rsidRDefault="00831EA0" w:rsidP="0050165E">
      <w:pPr>
        <w:pStyle w:val="-3"/>
        <w:rPr>
          <w:vertAlign w:val="superscript"/>
        </w:rPr>
      </w:pPr>
      <w:bookmarkStart w:id="21" w:name="_Toc55060766"/>
      <w:bookmarkStart w:id="22" w:name="_Toc55208032"/>
      <w:r w:rsidRPr="00876E23">
        <w:t>Улога других релевантних развојних стратегија у дефинисању ЛСРР</w:t>
      </w:r>
      <w:bookmarkEnd w:id="21"/>
      <w:bookmarkEnd w:id="22"/>
    </w:p>
    <w:p w14:paraId="0784C3E4" w14:textId="77777777" w:rsidR="00831EA0" w:rsidRPr="00876E23" w:rsidRDefault="00831EA0" w:rsidP="0050165E">
      <w:pPr>
        <w:pStyle w:val="Tekst-1"/>
      </w:pPr>
      <w:r w:rsidRPr="00876E23">
        <w:t>Осим наведених кључних стратегија и програма, приликом израде ЛСРР коришћена су и остала стратешка и планска документа која су релевантна у смислу секторског утиција који имају на рурални развој посматраног подручја:</w:t>
      </w:r>
    </w:p>
    <w:p w14:paraId="0B5BBA07" w14:textId="77777777" w:rsidR="00831EA0" w:rsidRPr="0050165E" w:rsidRDefault="00831EA0" w:rsidP="00E20679">
      <w:pPr>
        <w:pStyle w:val="Tekst-1"/>
        <w:numPr>
          <w:ilvl w:val="0"/>
          <w:numId w:val="9"/>
        </w:numPr>
        <w:ind w:left="993" w:hanging="426"/>
      </w:pPr>
      <w:r w:rsidRPr="0050165E">
        <w:t>Стратегија развоја туризма Републике Србије за период од 2016-2025. године;</w:t>
      </w:r>
    </w:p>
    <w:p w14:paraId="58FC5ADC" w14:textId="77777777" w:rsidR="00831EA0" w:rsidRPr="0050165E" w:rsidRDefault="00831EA0" w:rsidP="00E20679">
      <w:pPr>
        <w:pStyle w:val="Tekst-1"/>
        <w:numPr>
          <w:ilvl w:val="0"/>
          <w:numId w:val="9"/>
        </w:numPr>
        <w:ind w:left="993" w:hanging="426"/>
      </w:pPr>
      <w:r w:rsidRPr="0050165E">
        <w:t>Стратегија за подршку развоја малих и средњих предузећа, предузетништва и конкурентности за период 2015-2020. године;</w:t>
      </w:r>
    </w:p>
    <w:p w14:paraId="64368C3A" w14:textId="77777777" w:rsidR="00831EA0" w:rsidRPr="0050165E" w:rsidRDefault="00831EA0" w:rsidP="00E20679">
      <w:pPr>
        <w:pStyle w:val="Tekst-1"/>
        <w:numPr>
          <w:ilvl w:val="0"/>
          <w:numId w:val="9"/>
        </w:numPr>
        <w:ind w:left="993" w:hanging="426"/>
      </w:pPr>
      <w:r w:rsidRPr="0050165E">
        <w:t>Национална стратегија за младе за период 2015-2025. године;</w:t>
      </w:r>
    </w:p>
    <w:p w14:paraId="0E7AB5A1" w14:textId="10EA252A" w:rsidR="00831EA0" w:rsidRPr="0050165E" w:rsidRDefault="00831EA0" w:rsidP="00E20679">
      <w:pPr>
        <w:pStyle w:val="Tekst-1"/>
        <w:numPr>
          <w:ilvl w:val="0"/>
          <w:numId w:val="9"/>
        </w:numPr>
        <w:ind w:left="993" w:hanging="426"/>
      </w:pPr>
      <w:r w:rsidRPr="0050165E">
        <w:t>Стратегија развоја социјалне заштите 2019-2025. године;</w:t>
      </w:r>
    </w:p>
    <w:p w14:paraId="14968D53" w14:textId="77777777" w:rsidR="00831EA0" w:rsidRPr="00876E23" w:rsidRDefault="00831EA0" w:rsidP="0050165E">
      <w:pPr>
        <w:pStyle w:val="-2"/>
      </w:pPr>
      <w:bookmarkStart w:id="23" w:name="_Toc55208033"/>
      <w:bookmarkStart w:id="24" w:name="_Toc55060758"/>
      <w:r w:rsidRPr="00876E23">
        <w:t>в. Опис области и тема обухваћених приоритетним пројектима</w:t>
      </w:r>
      <w:bookmarkEnd w:id="23"/>
      <w:r w:rsidRPr="00876E23">
        <w:t xml:space="preserve"> </w:t>
      </w:r>
      <w:bookmarkEnd w:id="24"/>
    </w:p>
    <w:p w14:paraId="3B542EF7" w14:textId="77777777" w:rsidR="00CD3C32" w:rsidRDefault="00831EA0" w:rsidP="0050165E">
      <w:pPr>
        <w:pStyle w:val="Tekst-1"/>
        <w:rPr>
          <w:lang w:val="sr-Latn-RS"/>
        </w:rPr>
      </w:pPr>
      <w:r w:rsidRPr="00876E23">
        <w:t xml:space="preserve">Детаљним скенирањем тренутног стања и ситуационе анализе посматраног подручја, утврђени су </w:t>
      </w:r>
      <w:r w:rsidRPr="00876E23">
        <w:rPr>
          <w:b/>
        </w:rPr>
        <w:t>стратешки циљеви,</w:t>
      </w:r>
      <w:r w:rsidRPr="00876E23">
        <w:t xml:space="preserve">  </w:t>
      </w:r>
      <w:r w:rsidRPr="00876E23">
        <w:rPr>
          <w:b/>
        </w:rPr>
        <w:t>приоритетне области</w:t>
      </w:r>
      <w:r w:rsidRPr="00876E23">
        <w:t xml:space="preserve">  са јасним и мерљивим показатељима на локалном нивоу. Одабир области и тема приоритетних пројеката је настао као резултат</w:t>
      </w:r>
      <w:r w:rsidRPr="00876E23">
        <w:rPr>
          <w:b/>
        </w:rPr>
        <w:t xml:space="preserve"> </w:t>
      </w:r>
      <w:r w:rsidRPr="00876E23">
        <w:t>претходно спроведених корака у процесу израде ЛСРР, узимајући у обзир ужи и шири локални контекст заједнице, кључне потенцијале и њене недостатке.</w:t>
      </w:r>
    </w:p>
    <w:p w14:paraId="6CAC27D1" w14:textId="47705405" w:rsidR="00831EA0" w:rsidRPr="00876E23" w:rsidRDefault="00831EA0" w:rsidP="0050165E">
      <w:pPr>
        <w:pStyle w:val="Tekst-1"/>
      </w:pPr>
      <w:r w:rsidRPr="00876E23">
        <w:lastRenderedPageBreak/>
        <w:t xml:space="preserve">Циљеви су постављени тако да поштују </w:t>
      </w:r>
      <w:r w:rsidRPr="00876E23">
        <w:rPr>
          <w:b/>
        </w:rPr>
        <w:t>SMART методу</w:t>
      </w:r>
      <w:r w:rsidRPr="00876E23">
        <w:t>.</w:t>
      </w:r>
      <w:r w:rsidR="00CD3C32">
        <w:rPr>
          <w:lang w:val="sr-Latn-RS"/>
        </w:rPr>
        <w:t xml:space="preserve"> </w:t>
      </w:r>
      <w:r w:rsidRPr="00876E23">
        <w:t>Сви циљеви су постављени  да буду специфични, мерљиви, достижни, релевантни и временски одређени.</w:t>
      </w:r>
    </w:p>
    <w:p w14:paraId="23805D96" w14:textId="41E167A4" w:rsidR="00831EA0" w:rsidRPr="0050165E" w:rsidRDefault="00831EA0" w:rsidP="0050165E">
      <w:pPr>
        <w:pStyle w:val="-2"/>
      </w:pPr>
      <w:bookmarkStart w:id="25" w:name="page30"/>
      <w:bookmarkStart w:id="26" w:name="_Toc55208034"/>
      <w:bookmarkEnd w:id="25"/>
      <w:r w:rsidRPr="0050165E">
        <w:t>1. ЦИЉ</w:t>
      </w:r>
      <w:r w:rsidR="003E42D6">
        <w:rPr>
          <w:lang w:val="sr-Latn-RS"/>
        </w:rPr>
        <w:t xml:space="preserve"> </w:t>
      </w:r>
      <w:r w:rsidR="003E42D6">
        <w:t>–</w:t>
      </w:r>
      <w:r w:rsidR="003E42D6">
        <w:rPr>
          <w:lang w:val="sr-Latn-RS"/>
        </w:rPr>
        <w:t xml:space="preserve"> </w:t>
      </w:r>
      <w:r w:rsidRPr="0050165E">
        <w:t>Подизање капацитета привреде и јачање конкурентног пословног окружења</w:t>
      </w:r>
      <w:bookmarkEnd w:id="26"/>
    </w:p>
    <w:p w14:paraId="0E930342" w14:textId="77777777" w:rsidR="00831EA0" w:rsidRPr="00876E23" w:rsidRDefault="00831EA0" w:rsidP="0050165E">
      <w:pPr>
        <w:pStyle w:val="Tekst-1"/>
      </w:pPr>
      <w:r w:rsidRPr="00876E23">
        <w:t>Овај циљ подразумева  следеће приоритете:</w:t>
      </w:r>
    </w:p>
    <w:p w14:paraId="38F0C48F" w14:textId="77777777" w:rsidR="00831EA0" w:rsidRPr="0050165E" w:rsidRDefault="00831EA0" w:rsidP="0050165E">
      <w:pPr>
        <w:pStyle w:val="-3"/>
      </w:pPr>
      <w:bookmarkStart w:id="27" w:name="_Toc55208035"/>
      <w:r w:rsidRPr="0050165E">
        <w:t>Приоритет 1.1. - Развој конкурентне и одрживе пољопривреде</w:t>
      </w:r>
      <w:bookmarkEnd w:id="27"/>
      <w:r w:rsidRPr="0050165E">
        <w:t xml:space="preserve">  </w:t>
      </w:r>
    </w:p>
    <w:p w14:paraId="45B62EC7" w14:textId="77777777" w:rsidR="0050165E" w:rsidRPr="00375975" w:rsidRDefault="00831EA0" w:rsidP="00E20679">
      <w:pPr>
        <w:pStyle w:val="Tekst-1"/>
        <w:numPr>
          <w:ilvl w:val="0"/>
          <w:numId w:val="10"/>
        </w:numPr>
      </w:pPr>
      <w:r w:rsidRPr="00876E23">
        <w:t>Подстицање  тржишно орјентисане пољопривреде, финализације и</w:t>
      </w:r>
      <w:r w:rsidR="0050165E" w:rsidRPr="00375975">
        <w:t xml:space="preserve"> </w:t>
      </w:r>
      <w:r w:rsidRPr="00876E23">
        <w:t>диверзификације</w:t>
      </w:r>
      <w:r w:rsidR="0050165E" w:rsidRPr="00375975">
        <w:t xml:space="preserve"> </w:t>
      </w:r>
      <w:r w:rsidRPr="00876E23">
        <w:t>пољоприврене производње (рад на побољшању положаја пољопривредних произвођача, прерађивача и њиховом повезивању са тржиштем, заштити и промоцији регионалних  пољопривредно</w:t>
      </w:r>
      <w:r w:rsidR="0050165E" w:rsidRPr="00375975">
        <w:t xml:space="preserve"> </w:t>
      </w:r>
      <w:r w:rsidRPr="00876E23">
        <w:t>-</w:t>
      </w:r>
      <w:r w:rsidR="0050165E" w:rsidRPr="00375975">
        <w:t xml:space="preserve"> </w:t>
      </w:r>
      <w:r w:rsidRPr="00876E23">
        <w:t>прехрамбених производа).</w:t>
      </w:r>
    </w:p>
    <w:p w14:paraId="7BC0D0C3" w14:textId="77777777" w:rsidR="0050165E" w:rsidRPr="00375975" w:rsidRDefault="00831EA0" w:rsidP="00E20679">
      <w:pPr>
        <w:pStyle w:val="Tekst-1"/>
        <w:numPr>
          <w:ilvl w:val="0"/>
          <w:numId w:val="10"/>
        </w:numPr>
      </w:pPr>
      <w:r w:rsidRPr="00375975">
        <w:t>Подстицање брендирања и увођење нових маркетиншких алата за промоцију домаћих пољопривредних производа (развој кратких ланаца снабдевања,</w:t>
      </w:r>
      <w:r w:rsidR="0050165E" w:rsidRPr="00375975">
        <w:t xml:space="preserve"> </w:t>
      </w:r>
      <w:r w:rsidRPr="00375975">
        <w:t>укључивање медија у промоцију производа, укључивање пољопривредних произвођача у туристичку понуду).</w:t>
      </w:r>
    </w:p>
    <w:p w14:paraId="36639EF0" w14:textId="77777777" w:rsidR="0050165E" w:rsidRPr="00375975" w:rsidRDefault="00831EA0" w:rsidP="00E20679">
      <w:pPr>
        <w:pStyle w:val="Tekst-1"/>
        <w:numPr>
          <w:ilvl w:val="0"/>
          <w:numId w:val="10"/>
        </w:numPr>
      </w:pPr>
      <w:r w:rsidRPr="00375975">
        <w:t>Развој еколошке пољопривреде (подстицање сертификације пољопривредника за органску производњу, развој добровољних ознака квалитета и друге ознаке квалитета).</w:t>
      </w:r>
    </w:p>
    <w:p w14:paraId="4F114176" w14:textId="77777777" w:rsidR="0050165E" w:rsidRPr="00375975" w:rsidRDefault="00831EA0" w:rsidP="00E20679">
      <w:pPr>
        <w:pStyle w:val="Tekst-1"/>
        <w:numPr>
          <w:ilvl w:val="0"/>
          <w:numId w:val="10"/>
        </w:numPr>
      </w:pPr>
      <w:r w:rsidRPr="00375975">
        <w:t>Подстицај интересног удруживања и сарадња пољопривредних произвођача.</w:t>
      </w:r>
    </w:p>
    <w:p w14:paraId="48F9BFCC" w14:textId="2A350518" w:rsidR="00831EA0" w:rsidRPr="00375975" w:rsidRDefault="00831EA0" w:rsidP="00E20679">
      <w:pPr>
        <w:pStyle w:val="Tekst-1"/>
        <w:numPr>
          <w:ilvl w:val="0"/>
          <w:numId w:val="10"/>
        </w:numPr>
      </w:pPr>
      <w:r w:rsidRPr="00375975">
        <w:t>Развој специфичних  посебних програма за младе пољопривреднике и жене на селу.</w:t>
      </w:r>
    </w:p>
    <w:p w14:paraId="303FD625" w14:textId="77777777" w:rsidR="00831EA0" w:rsidRPr="00876E23" w:rsidRDefault="00831EA0" w:rsidP="0050165E">
      <w:pPr>
        <w:pStyle w:val="-3"/>
        <w:rPr>
          <w:szCs w:val="24"/>
        </w:rPr>
      </w:pPr>
      <w:bookmarkStart w:id="28" w:name="_Toc55208036"/>
      <w:r w:rsidRPr="00876E23">
        <w:rPr>
          <w:szCs w:val="24"/>
        </w:rPr>
        <w:t xml:space="preserve">Приоритет 1.2. - </w:t>
      </w:r>
      <w:r w:rsidRPr="0050165E">
        <w:t>Стимулисање развоја предузетништва</w:t>
      </w:r>
      <w:bookmarkEnd w:id="28"/>
    </w:p>
    <w:p w14:paraId="1C070589" w14:textId="77777777" w:rsidR="00831EA0" w:rsidRPr="00876E23" w:rsidRDefault="00831EA0" w:rsidP="00E20679">
      <w:pPr>
        <w:pStyle w:val="Tekst-1"/>
        <w:numPr>
          <w:ilvl w:val="0"/>
          <w:numId w:val="10"/>
        </w:numPr>
      </w:pPr>
      <w:r w:rsidRPr="00876E23">
        <w:t>Јачање предузетничких потенцијала и промовисање позитивног става према предузетништву (побољшати управљање људским ресурсима у предузећима, задругама,јавним институцијама и удружењима, подстицати  друштвено одговорно и социјално предузетништво, подстицати запошљавање и самозапошљавање).</w:t>
      </w:r>
    </w:p>
    <w:p w14:paraId="546C262B" w14:textId="3A924FE1" w:rsidR="00831EA0" w:rsidRPr="00375975" w:rsidRDefault="00831EA0" w:rsidP="00E20679">
      <w:pPr>
        <w:pStyle w:val="Tekst-1"/>
        <w:numPr>
          <w:ilvl w:val="0"/>
          <w:numId w:val="10"/>
        </w:numPr>
      </w:pPr>
      <w:r w:rsidRPr="00375975">
        <w:t>Развој предузетништва заснован на примени иновација- нових технологија и развоју нових производа</w:t>
      </w:r>
      <w:r w:rsidR="003E42D6" w:rsidRPr="00375975">
        <w:t xml:space="preserve"> </w:t>
      </w:r>
      <w:r w:rsidRPr="00375975">
        <w:t>(побољшати ниво примене иновација, нових технологија, промовисати развој нових производа од значаја за економски развој).</w:t>
      </w:r>
    </w:p>
    <w:p w14:paraId="1F7C3C64" w14:textId="77777777" w:rsidR="003E42D6" w:rsidRPr="00375975" w:rsidRDefault="00831EA0" w:rsidP="00E20679">
      <w:pPr>
        <w:pStyle w:val="Tekst-1"/>
        <w:numPr>
          <w:ilvl w:val="0"/>
          <w:numId w:val="10"/>
        </w:numPr>
      </w:pPr>
      <w:r w:rsidRPr="00375975">
        <w:t>Увођење и усвајање стандарда, ознаке квалитета, стандардизација и промоција зелене економије (подстицање унапређења система управљња, увођење сертификата, усаглашеност са стандардима и директивама)</w:t>
      </w:r>
      <w:r w:rsidR="003E42D6" w:rsidRPr="00375975">
        <w:t>.</w:t>
      </w:r>
    </w:p>
    <w:p w14:paraId="4CE0CB82" w14:textId="5C3CB1C2" w:rsidR="00831EA0" w:rsidRPr="00375975" w:rsidRDefault="00831EA0" w:rsidP="00E20679">
      <w:pPr>
        <w:pStyle w:val="Tekst-1"/>
        <w:numPr>
          <w:ilvl w:val="0"/>
          <w:numId w:val="10"/>
        </w:numPr>
      </w:pPr>
      <w:r w:rsidRPr="00375975">
        <w:t>Развој пословне инфраструктуре (обнова и изградња нове пословне инфраструктуре, промоција могућности улагања).</w:t>
      </w:r>
    </w:p>
    <w:p w14:paraId="6EA66A85" w14:textId="77777777" w:rsidR="00CD3C32" w:rsidRDefault="00CD3C32">
      <w:pPr>
        <w:rPr>
          <w:rFonts w:ascii="Times New Roman" w:hAnsi="Times New Roman" w:cs="Times New Roman"/>
          <w:b/>
          <w:i/>
          <w:iCs/>
          <w:sz w:val="24"/>
          <w:szCs w:val="28"/>
          <w:lang w:val="sr-Cyrl-RS"/>
        </w:rPr>
      </w:pPr>
      <w:r>
        <w:br w:type="page"/>
      </w:r>
    </w:p>
    <w:p w14:paraId="66EC16FC" w14:textId="279A89D5" w:rsidR="00831EA0" w:rsidRPr="003E42D6" w:rsidRDefault="00831EA0" w:rsidP="003E42D6">
      <w:pPr>
        <w:pStyle w:val="-3"/>
      </w:pPr>
      <w:bookmarkStart w:id="29" w:name="_Toc55208037"/>
      <w:r w:rsidRPr="003E42D6">
        <w:lastRenderedPageBreak/>
        <w:t>Приоритет 1.3. - Одрживи развој руралног туризма утемељеног на очуваној природној и културној баштини</w:t>
      </w:r>
      <w:bookmarkEnd w:id="29"/>
    </w:p>
    <w:p w14:paraId="559C406D" w14:textId="2C11732B" w:rsidR="003E42D6" w:rsidRPr="00375975" w:rsidRDefault="00831EA0" w:rsidP="00E20679">
      <w:pPr>
        <w:pStyle w:val="Tekst-1"/>
        <w:numPr>
          <w:ilvl w:val="0"/>
          <w:numId w:val="10"/>
        </w:numPr>
      </w:pPr>
      <w:r w:rsidRPr="00876E23">
        <w:t xml:space="preserve">Изградња и развој туристичке инфраструктуре (подстицати изградњу и развој туристичке инфраструктуре која је у </w:t>
      </w:r>
      <w:r w:rsidRPr="00375975">
        <w:t>складу</w:t>
      </w:r>
      <w:r w:rsidRPr="00876E23">
        <w:t xml:space="preserve"> са принципима одрживости и која допуњује туристичку слику подручја ЛАГ-а).</w:t>
      </w:r>
    </w:p>
    <w:p w14:paraId="0A69FCF6" w14:textId="347C08CC" w:rsidR="00831EA0" w:rsidRPr="00375975" w:rsidRDefault="00831EA0" w:rsidP="00E20679">
      <w:pPr>
        <w:pStyle w:val="Tekst-1"/>
        <w:numPr>
          <w:ilvl w:val="0"/>
          <w:numId w:val="10"/>
        </w:numPr>
      </w:pPr>
      <w:r w:rsidRPr="00375975">
        <w:t>Одрживо управљање туристичким ресурсима</w:t>
      </w:r>
      <w:r w:rsidR="00CD3C32">
        <w:rPr>
          <w:lang w:val="sr-Latn-RS"/>
        </w:rPr>
        <w:t xml:space="preserve"> </w:t>
      </w:r>
      <w:r w:rsidRPr="00375975">
        <w:t>(идентификовати услове и инструменте за дугорочно одрживи туризам у  подручју, подстицати иницијативе за одрживо управљање туристичким ресурсима).</w:t>
      </w:r>
    </w:p>
    <w:p w14:paraId="484456F8" w14:textId="156A46BA" w:rsidR="00831EA0" w:rsidRPr="00375975" w:rsidRDefault="00831EA0" w:rsidP="00E20679">
      <w:pPr>
        <w:pStyle w:val="Tekst-1"/>
        <w:numPr>
          <w:ilvl w:val="0"/>
          <w:numId w:val="10"/>
        </w:numPr>
      </w:pPr>
      <w:r w:rsidRPr="00375975">
        <w:t>Осмишљавање и развој заједничке туристичке понуде и промоција подручја (побољшати квалитет туристичких производа и услуга, подстаћи сарадњу и умрежавање свих сектора у циљу дизајнирања заједничких туристичких производа и заједничког наступа на тржишту, повезивање са туристичким агенцијама и посредницима).</w:t>
      </w:r>
    </w:p>
    <w:p w14:paraId="00C93619" w14:textId="78CD264E" w:rsidR="00831EA0" w:rsidRPr="00876E23" w:rsidRDefault="00831EA0" w:rsidP="003E42D6">
      <w:pPr>
        <w:pStyle w:val="-2"/>
      </w:pPr>
      <w:bookmarkStart w:id="30" w:name="_Toc55208038"/>
      <w:r w:rsidRPr="00876E23">
        <w:t>2.</w:t>
      </w:r>
      <w:r w:rsidR="003E42D6">
        <w:rPr>
          <w:lang w:val="sr-Latn-RS"/>
        </w:rPr>
        <w:t xml:space="preserve"> </w:t>
      </w:r>
      <w:r w:rsidRPr="00876E23">
        <w:t xml:space="preserve">ЦИЉ </w:t>
      </w:r>
      <w:r w:rsidR="003E42D6">
        <w:t>–</w:t>
      </w:r>
      <w:r w:rsidRPr="00876E23">
        <w:t xml:space="preserve"> </w:t>
      </w:r>
      <w:r w:rsidRPr="003E42D6">
        <w:t>Побољшање</w:t>
      </w:r>
      <w:r w:rsidRPr="00876E23">
        <w:t xml:space="preserve"> квалитета живота и подстицај непољопривредних делатности</w:t>
      </w:r>
      <w:bookmarkEnd w:id="30"/>
    </w:p>
    <w:p w14:paraId="422D13EE" w14:textId="3A8054EF" w:rsidR="00831EA0" w:rsidRPr="00876E23" w:rsidRDefault="00831EA0" w:rsidP="003E42D6">
      <w:pPr>
        <w:pStyle w:val="-3"/>
      </w:pPr>
      <w:bookmarkStart w:id="31" w:name="_Toc55208039"/>
      <w:r w:rsidRPr="00876E23">
        <w:t>Приоритет 2.1.</w:t>
      </w:r>
      <w:r w:rsidR="00A56638">
        <w:rPr>
          <w:lang w:val="sr-Latn-RS"/>
        </w:rPr>
        <w:t xml:space="preserve"> </w:t>
      </w:r>
      <w:r w:rsidRPr="00876E23">
        <w:t>-  Развој и побољшање инфраструктуре у руралним областима</w:t>
      </w:r>
      <w:bookmarkEnd w:id="31"/>
    </w:p>
    <w:p w14:paraId="566269CD" w14:textId="77777777" w:rsidR="00831EA0" w:rsidRPr="00375975" w:rsidRDefault="00831EA0" w:rsidP="00E20679">
      <w:pPr>
        <w:pStyle w:val="Tekst-1"/>
        <w:numPr>
          <w:ilvl w:val="0"/>
          <w:numId w:val="10"/>
        </w:numPr>
      </w:pPr>
      <w:r w:rsidRPr="00375975">
        <w:t>Развој и изградња саобрачајне и комуналне инфраструктуре</w:t>
      </w:r>
    </w:p>
    <w:p w14:paraId="1881C8B3" w14:textId="77777777" w:rsidR="00831EA0" w:rsidRPr="00375975" w:rsidRDefault="00831EA0" w:rsidP="00E20679">
      <w:pPr>
        <w:pStyle w:val="Tekst-1"/>
        <w:numPr>
          <w:ilvl w:val="0"/>
          <w:numId w:val="10"/>
        </w:numPr>
      </w:pPr>
      <w:r w:rsidRPr="00375975">
        <w:t xml:space="preserve">Подстицај и развој непољопривредних делатности уруралним заједницама </w:t>
      </w:r>
    </w:p>
    <w:p w14:paraId="45FD2BBB" w14:textId="77777777" w:rsidR="00831EA0" w:rsidRPr="00375975" w:rsidRDefault="00831EA0" w:rsidP="00E20679">
      <w:pPr>
        <w:pStyle w:val="Tekst-1"/>
        <w:numPr>
          <w:ilvl w:val="0"/>
          <w:numId w:val="10"/>
        </w:numPr>
      </w:pPr>
      <w:r w:rsidRPr="00375975">
        <w:t>Развој и унапређење друштвене инфраструктуре</w:t>
      </w:r>
    </w:p>
    <w:p w14:paraId="1C838153" w14:textId="7A3DBE0E" w:rsidR="00831EA0" w:rsidRPr="003E42D6" w:rsidRDefault="00831EA0" w:rsidP="003E42D6">
      <w:pPr>
        <w:pStyle w:val="-3"/>
      </w:pPr>
      <w:bookmarkStart w:id="32" w:name="_Toc55208040"/>
      <w:r w:rsidRPr="003E42D6">
        <w:t>Приоритет 2.2.</w:t>
      </w:r>
      <w:r w:rsidR="00A56638">
        <w:rPr>
          <w:lang w:val="sr-Latn-RS"/>
        </w:rPr>
        <w:t xml:space="preserve"> </w:t>
      </w:r>
      <w:r w:rsidRPr="003E42D6">
        <w:t>-  Подстицање образовања</w:t>
      </w:r>
      <w:bookmarkEnd w:id="32"/>
    </w:p>
    <w:p w14:paraId="7C04FF33" w14:textId="77777777" w:rsidR="00831EA0" w:rsidRPr="00375975" w:rsidRDefault="00831EA0" w:rsidP="00E20679">
      <w:pPr>
        <w:pStyle w:val="Tekst-1"/>
        <w:numPr>
          <w:ilvl w:val="0"/>
          <w:numId w:val="10"/>
        </w:numPr>
      </w:pPr>
      <w:r w:rsidRPr="00375975">
        <w:t>Помоћ младима у образовању</w:t>
      </w:r>
    </w:p>
    <w:p w14:paraId="66BF549E" w14:textId="77777777" w:rsidR="00831EA0" w:rsidRPr="00375975" w:rsidRDefault="00831EA0" w:rsidP="00E20679">
      <w:pPr>
        <w:pStyle w:val="Tekst-1"/>
        <w:numPr>
          <w:ilvl w:val="0"/>
          <w:numId w:val="10"/>
        </w:numPr>
      </w:pPr>
      <w:r w:rsidRPr="00375975">
        <w:t>Подршка доживотном учењу</w:t>
      </w:r>
    </w:p>
    <w:p w14:paraId="551E0C6F" w14:textId="77777777" w:rsidR="00831EA0" w:rsidRPr="00876E23" w:rsidRDefault="00831EA0" w:rsidP="003E42D6">
      <w:pPr>
        <w:pStyle w:val="-3"/>
      </w:pPr>
      <w:bookmarkStart w:id="33" w:name="_Toc55208041"/>
      <w:r w:rsidRPr="00876E23">
        <w:t>Приоритет 2.3 - Заштита и промоција људских права</w:t>
      </w:r>
      <w:bookmarkEnd w:id="33"/>
    </w:p>
    <w:p w14:paraId="7CCFF2C2" w14:textId="77777777" w:rsidR="00831EA0" w:rsidRPr="00375975" w:rsidRDefault="00831EA0" w:rsidP="00E20679">
      <w:pPr>
        <w:pStyle w:val="Tekst-1"/>
        <w:numPr>
          <w:ilvl w:val="0"/>
          <w:numId w:val="10"/>
        </w:numPr>
      </w:pPr>
      <w:r w:rsidRPr="00375975">
        <w:t>Побољшање квалитета живота маргинализованих и рањивих друштвених група</w:t>
      </w:r>
    </w:p>
    <w:p w14:paraId="50A10705" w14:textId="77777777" w:rsidR="00831EA0" w:rsidRPr="00375975" w:rsidRDefault="00831EA0" w:rsidP="00E20679">
      <w:pPr>
        <w:pStyle w:val="Tekst-1"/>
        <w:numPr>
          <w:ilvl w:val="0"/>
          <w:numId w:val="10"/>
        </w:numPr>
      </w:pPr>
      <w:r w:rsidRPr="00375975">
        <w:t>Подстицање превентивне здравствене заштите</w:t>
      </w:r>
    </w:p>
    <w:p w14:paraId="4C971F1C" w14:textId="77777777" w:rsidR="00831EA0" w:rsidRPr="00375975" w:rsidRDefault="00831EA0" w:rsidP="00E20679">
      <w:pPr>
        <w:pStyle w:val="Tekst-1"/>
        <w:numPr>
          <w:ilvl w:val="0"/>
          <w:numId w:val="10"/>
        </w:numPr>
      </w:pPr>
      <w:r w:rsidRPr="00375975">
        <w:t>Подршка здравом начину живота и активном старењу</w:t>
      </w:r>
    </w:p>
    <w:p w14:paraId="5C915C46" w14:textId="587AE28C" w:rsidR="00831EA0" w:rsidRPr="00876E23" w:rsidRDefault="00831EA0" w:rsidP="00375975">
      <w:pPr>
        <w:pStyle w:val="-2"/>
      </w:pPr>
      <w:bookmarkStart w:id="34" w:name="_Toc55208042"/>
      <w:r w:rsidRPr="00876E23">
        <w:t>3.</w:t>
      </w:r>
      <w:r w:rsidR="00375975">
        <w:rPr>
          <w:lang w:val="sr-Latn-RS"/>
        </w:rPr>
        <w:t xml:space="preserve"> </w:t>
      </w:r>
      <w:r w:rsidRPr="00876E23">
        <w:t>ЦИЉ</w:t>
      </w:r>
      <w:r w:rsidR="00375975">
        <w:rPr>
          <w:lang w:val="sr-Latn-RS"/>
        </w:rPr>
        <w:t xml:space="preserve"> </w:t>
      </w:r>
      <w:r w:rsidR="00375975">
        <w:t>–</w:t>
      </w:r>
      <w:r w:rsidR="00375975">
        <w:rPr>
          <w:lang w:val="sr-Latn-RS"/>
        </w:rPr>
        <w:t xml:space="preserve"> </w:t>
      </w:r>
      <w:r w:rsidRPr="00876E23">
        <w:t>Одрживи развој руралних подручја</w:t>
      </w:r>
      <w:bookmarkEnd w:id="34"/>
    </w:p>
    <w:p w14:paraId="4F8DC0DF" w14:textId="77777777" w:rsidR="00831EA0" w:rsidRPr="00375975" w:rsidRDefault="00831EA0" w:rsidP="00375975">
      <w:pPr>
        <w:pStyle w:val="-3"/>
      </w:pPr>
      <w:bookmarkStart w:id="35" w:name="_Toc55208043"/>
      <w:r w:rsidRPr="00375975">
        <w:t>Приоритет</w:t>
      </w:r>
      <w:r w:rsidRPr="00876E23">
        <w:t xml:space="preserve"> 3.1 - Заштита природних вредности и животне средине</w:t>
      </w:r>
      <w:bookmarkEnd w:id="35"/>
    </w:p>
    <w:p w14:paraId="0C2D03E1" w14:textId="77777777" w:rsidR="00831EA0" w:rsidRPr="00375975" w:rsidRDefault="00831EA0" w:rsidP="00E20679">
      <w:pPr>
        <w:pStyle w:val="Tekst-1"/>
        <w:numPr>
          <w:ilvl w:val="0"/>
          <w:numId w:val="10"/>
        </w:numPr>
      </w:pPr>
      <w:r w:rsidRPr="00375975">
        <w:t xml:space="preserve"> Развој система за праћење стања и заштиту животне средине</w:t>
      </w:r>
    </w:p>
    <w:p w14:paraId="35FA928D" w14:textId="77777777" w:rsidR="00831EA0" w:rsidRPr="00375975" w:rsidRDefault="00831EA0" w:rsidP="00E20679">
      <w:pPr>
        <w:pStyle w:val="Tekst-1"/>
        <w:numPr>
          <w:ilvl w:val="0"/>
          <w:numId w:val="10"/>
        </w:numPr>
      </w:pPr>
      <w:r w:rsidRPr="00375975">
        <w:t>Унапређење система за управљање отпадом</w:t>
      </w:r>
    </w:p>
    <w:p w14:paraId="68D4ED75" w14:textId="77777777" w:rsidR="00831EA0" w:rsidRPr="00375975" w:rsidRDefault="00831EA0" w:rsidP="00E20679">
      <w:pPr>
        <w:pStyle w:val="Tekst-1"/>
        <w:numPr>
          <w:ilvl w:val="0"/>
          <w:numId w:val="10"/>
        </w:numPr>
      </w:pPr>
      <w:r w:rsidRPr="00375975">
        <w:t>Повећање знања, вештина и мотивисаности становника о заштити и очувању природних ресурса</w:t>
      </w:r>
    </w:p>
    <w:p w14:paraId="4BA69139" w14:textId="77777777" w:rsidR="00831EA0" w:rsidRPr="00876E23" w:rsidRDefault="00831EA0" w:rsidP="00375975">
      <w:pPr>
        <w:pStyle w:val="-3"/>
      </w:pPr>
      <w:bookmarkStart w:id="36" w:name="_Toc55208044"/>
      <w:r w:rsidRPr="00876E23">
        <w:t>Приоритет 3.2 - Енергетска одрживост</w:t>
      </w:r>
      <w:bookmarkEnd w:id="36"/>
    </w:p>
    <w:p w14:paraId="501E0AE0" w14:textId="77777777" w:rsidR="00831EA0" w:rsidRPr="00876E23" w:rsidRDefault="00831EA0" w:rsidP="00E20679">
      <w:pPr>
        <w:pStyle w:val="Tekst-1"/>
        <w:numPr>
          <w:ilvl w:val="0"/>
          <w:numId w:val="10"/>
        </w:numPr>
      </w:pPr>
      <w:r w:rsidRPr="00876E23">
        <w:t>Подстицај и коришчење обновљивих извора енергије</w:t>
      </w:r>
    </w:p>
    <w:p w14:paraId="2B94250B" w14:textId="77777777" w:rsidR="00831EA0" w:rsidRPr="00BD202D" w:rsidRDefault="00831EA0" w:rsidP="00E20679">
      <w:pPr>
        <w:pStyle w:val="Tekst-1"/>
        <w:numPr>
          <w:ilvl w:val="0"/>
          <w:numId w:val="10"/>
        </w:numPr>
      </w:pPr>
      <w:r w:rsidRPr="00BD202D">
        <w:lastRenderedPageBreak/>
        <w:t>Промовисање енергетске ефикасности</w:t>
      </w:r>
    </w:p>
    <w:p w14:paraId="6D5DDF86" w14:textId="77777777" w:rsidR="00831EA0" w:rsidRPr="00876E23" w:rsidRDefault="00831EA0" w:rsidP="00BD202D">
      <w:pPr>
        <w:pStyle w:val="-3"/>
      </w:pPr>
      <w:bookmarkStart w:id="37" w:name="_Toc55208045"/>
      <w:r w:rsidRPr="00876E23">
        <w:t>Приоритет 3.3 - Очување традиције и културне баштине</w:t>
      </w:r>
      <w:bookmarkEnd w:id="37"/>
    </w:p>
    <w:p w14:paraId="4555114A" w14:textId="77777777" w:rsidR="00831EA0" w:rsidRPr="00876E23" w:rsidRDefault="00831EA0" w:rsidP="00E20679">
      <w:pPr>
        <w:pStyle w:val="Tekst-1"/>
        <w:numPr>
          <w:ilvl w:val="0"/>
          <w:numId w:val="10"/>
        </w:numPr>
        <w:rPr>
          <w:szCs w:val="24"/>
        </w:rPr>
      </w:pPr>
      <w:r w:rsidRPr="00876E23">
        <w:rPr>
          <w:szCs w:val="24"/>
        </w:rPr>
        <w:t>Обнова и заштита културне баштине</w:t>
      </w:r>
    </w:p>
    <w:p w14:paraId="6B85163A" w14:textId="0D1E5A0F" w:rsidR="00831EA0" w:rsidRPr="00876E23" w:rsidRDefault="00831EA0" w:rsidP="00E20679">
      <w:pPr>
        <w:pStyle w:val="Tekst-1"/>
        <w:numPr>
          <w:ilvl w:val="0"/>
          <w:numId w:val="10"/>
        </w:numPr>
        <w:rPr>
          <w:szCs w:val="24"/>
        </w:rPr>
      </w:pPr>
      <w:r w:rsidRPr="00876E23">
        <w:rPr>
          <w:szCs w:val="24"/>
        </w:rPr>
        <w:t>Одрживо кориш</w:t>
      </w:r>
      <w:r w:rsidR="002B31FA">
        <w:rPr>
          <w:szCs w:val="24"/>
        </w:rPr>
        <w:t>ћ</w:t>
      </w:r>
      <w:r w:rsidRPr="00876E23">
        <w:rPr>
          <w:szCs w:val="24"/>
        </w:rPr>
        <w:t>ење културне баштине</w:t>
      </w:r>
    </w:p>
    <w:p w14:paraId="3ED01B36" w14:textId="6071AAFE" w:rsidR="00831EA0" w:rsidRPr="00876E23" w:rsidRDefault="00831EA0" w:rsidP="002B31FA">
      <w:pPr>
        <w:pStyle w:val="-2"/>
      </w:pPr>
      <w:bookmarkStart w:id="38" w:name="_Toc55060767"/>
      <w:bookmarkStart w:id="39" w:name="_Toc55208046"/>
      <w:r w:rsidRPr="00876E23">
        <w:t>г. Опис критеријума и поступак за избор приоритетних пројеката на нивоу Партнерства.</w:t>
      </w:r>
      <w:bookmarkEnd w:id="38"/>
      <w:bookmarkEnd w:id="39"/>
    </w:p>
    <w:p w14:paraId="50B0C3C1" w14:textId="77777777" w:rsidR="00831EA0" w:rsidRPr="00876E23" w:rsidRDefault="00831EA0" w:rsidP="002B31FA">
      <w:pPr>
        <w:pStyle w:val="Tekst-1"/>
      </w:pPr>
      <w:r w:rsidRPr="00876E23">
        <w:t>Процедура одабира пројеката подразумева неколико корака, као што су: прикупљање (идентификација), административно – техничка провера, процена предлагача (финансијски, технички, организациони и професионални капацитет), значај пројекта, ефикасност и ефективност, одрживост и финансијска исплативост.</w:t>
      </w:r>
    </w:p>
    <w:p w14:paraId="2852947D" w14:textId="77777777" w:rsidR="00831EA0" w:rsidRPr="00876E23" w:rsidRDefault="00831EA0" w:rsidP="002B31FA">
      <w:pPr>
        <w:pStyle w:val="Tekst-1"/>
      </w:pPr>
      <w:r w:rsidRPr="00876E23">
        <w:t xml:space="preserve">ЛАГ бира пројекте који </w:t>
      </w:r>
      <w:r w:rsidRPr="002B31FA">
        <w:rPr>
          <w:b/>
          <w:bCs/>
        </w:rPr>
        <w:t>максимизирају ефекте реализације ЛСРР-а.</w:t>
      </w:r>
    </w:p>
    <w:p w14:paraId="03173CEE" w14:textId="77777777" w:rsidR="00831EA0" w:rsidRPr="00876E23" w:rsidRDefault="00831EA0" w:rsidP="002B31FA">
      <w:pPr>
        <w:pStyle w:val="Tekst-1"/>
      </w:pPr>
      <w:r w:rsidRPr="00876E23">
        <w:t>ЛАГ менаџер и други запослени сарадници у канцеларији ЛАГ-а, врше пријем пројектних предлога актера са подручја и чувају га у просторијама ЛАГ-а, на начин уређен посебним актом о пријему пројектних предлога и према процедури коју доноси Управни одбор.</w:t>
      </w:r>
    </w:p>
    <w:p w14:paraId="2D892ECF" w14:textId="77777777" w:rsidR="00831EA0" w:rsidRPr="00876E23" w:rsidRDefault="00831EA0" w:rsidP="002B31FA">
      <w:pPr>
        <w:pStyle w:val="Tekst-1"/>
      </w:pPr>
      <w:r w:rsidRPr="00876E23">
        <w:t>Административна провера подразумева позитиван одговор на следећа питања:</w:t>
      </w:r>
    </w:p>
    <w:p w14:paraId="02D58576" w14:textId="77777777" w:rsidR="00831EA0" w:rsidRPr="002B31FA" w:rsidRDefault="00831EA0" w:rsidP="002B31FA">
      <w:pPr>
        <w:pStyle w:val="Tekst-1"/>
        <w:numPr>
          <w:ilvl w:val="0"/>
          <w:numId w:val="15"/>
        </w:numPr>
      </w:pPr>
      <w:r w:rsidRPr="002B31FA">
        <w:t>Да ли се пројектне активности реализују на подручју које покрива ЛАГ?</w:t>
      </w:r>
    </w:p>
    <w:p w14:paraId="546DA435" w14:textId="77777777" w:rsidR="00831EA0" w:rsidRPr="002B31FA" w:rsidRDefault="00831EA0" w:rsidP="002B31FA">
      <w:pPr>
        <w:pStyle w:val="Tekst-1"/>
        <w:numPr>
          <w:ilvl w:val="0"/>
          <w:numId w:val="15"/>
        </w:numPr>
      </w:pPr>
      <w:r w:rsidRPr="002B31FA">
        <w:t>Да ли су достављени сви неопходни и тражени подаци захтевани на основу акта о пријему пројектних предлога?</w:t>
      </w:r>
    </w:p>
    <w:p w14:paraId="0D4162C5" w14:textId="77777777" w:rsidR="00831EA0" w:rsidRPr="002B31FA" w:rsidRDefault="00831EA0" w:rsidP="002B31FA">
      <w:pPr>
        <w:pStyle w:val="Tekst-1"/>
        <w:numPr>
          <w:ilvl w:val="0"/>
          <w:numId w:val="15"/>
        </w:numPr>
      </w:pPr>
      <w:r w:rsidRPr="002B31FA">
        <w:t>Да ли је пројекат усклађен са циљевима и приоритетима ЛСРР-а?</w:t>
      </w:r>
    </w:p>
    <w:p w14:paraId="2076DE0F" w14:textId="77777777" w:rsidR="00831EA0" w:rsidRPr="00876E23" w:rsidRDefault="00831EA0" w:rsidP="002B31FA">
      <w:pPr>
        <w:pStyle w:val="Tekst-1"/>
        <w:rPr>
          <w:b/>
        </w:rPr>
      </w:pPr>
      <w:r w:rsidRPr="00876E23">
        <w:t xml:space="preserve">Уколико пројекат не задовољи горе наведене услове, аутоматски се </w:t>
      </w:r>
      <w:r w:rsidRPr="00876E23">
        <w:rPr>
          <w:b/>
        </w:rPr>
        <w:t>одбацује.</w:t>
      </w:r>
    </w:p>
    <w:p w14:paraId="0B31ABA9" w14:textId="77777777" w:rsidR="00831EA0" w:rsidRPr="00876E23" w:rsidRDefault="00831EA0" w:rsidP="002B31FA">
      <w:pPr>
        <w:pStyle w:val="-3"/>
      </w:pPr>
      <w:bookmarkStart w:id="40" w:name="_Toc55060769"/>
      <w:bookmarkStart w:id="41" w:name="_Toc55208047"/>
      <w:r w:rsidRPr="00876E23">
        <w:t>Евалуација, рангирање и одабир пројеката</w:t>
      </w:r>
      <w:bookmarkEnd w:id="40"/>
      <w:bookmarkEnd w:id="41"/>
    </w:p>
    <w:p w14:paraId="0B932D71" w14:textId="6CF7677A" w:rsidR="00831EA0" w:rsidRPr="00876E23" w:rsidRDefault="00831EA0" w:rsidP="002B31FA">
      <w:pPr>
        <w:pStyle w:val="Tekst-1"/>
      </w:pPr>
      <w:r w:rsidRPr="00876E23">
        <w:t>Након што је пројекат прошао административну процену, врши се оцењивање (евалуација) пројектних предлога од стране Комисије за одабир приоритетних пројеката.</w:t>
      </w:r>
      <w:r w:rsidR="002B31FA">
        <w:t xml:space="preserve"> </w:t>
      </w:r>
      <w:r w:rsidRPr="00876E23">
        <w:t>Комисију чини 5 чланова, који су изабрани од стране Скупштине, према Статуту организације.</w:t>
      </w:r>
    </w:p>
    <w:p w14:paraId="44096F67" w14:textId="0B985368" w:rsidR="00012EBF" w:rsidRPr="00876E23" w:rsidRDefault="00831EA0" w:rsidP="00012EBF">
      <w:pPr>
        <w:pStyle w:val="Tekst-1"/>
      </w:pPr>
      <w:r w:rsidRPr="00876E23">
        <w:t>Комисија врши процену како самог подносиоца, тако и целокупне пројектне пријаве, према доле наведеним критетијумима (</w:t>
      </w:r>
      <w:r w:rsidR="00012EBF">
        <w:t>т</w:t>
      </w:r>
      <w:r w:rsidRPr="00876E23">
        <w:t>абела). Оцењивање се врши тако што Комисија додељује оцену сваком пројектном предлогу, након чега се врши рангирање.</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42"/>
        <w:gridCol w:w="7042"/>
        <w:gridCol w:w="1257"/>
      </w:tblGrid>
      <w:tr w:rsidR="00831EA0" w:rsidRPr="00876E23" w14:paraId="11502E02" w14:textId="77777777" w:rsidTr="00831EA0">
        <w:trPr>
          <w:trHeight w:val="262"/>
        </w:trPr>
        <w:tc>
          <w:tcPr>
            <w:tcW w:w="831" w:type="dxa"/>
            <w:shd w:val="clear" w:color="auto" w:fill="B4C6E7" w:themeFill="accent1" w:themeFillTint="66"/>
            <w:vAlign w:val="center"/>
          </w:tcPr>
          <w:p w14:paraId="2D7BB2EC" w14:textId="77777777" w:rsidR="00831EA0" w:rsidRPr="00876E23" w:rsidRDefault="00831EA0" w:rsidP="00831EA0">
            <w:pPr>
              <w:rPr>
                <w:rFonts w:ascii="Times New Roman" w:hAnsi="Times New Roman" w:cs="Times New Roman"/>
                <w:b/>
                <w:bCs/>
                <w:sz w:val="24"/>
                <w:szCs w:val="24"/>
              </w:rPr>
            </w:pPr>
            <w:r w:rsidRPr="00876E23">
              <w:rPr>
                <w:rFonts w:ascii="Times New Roman" w:hAnsi="Times New Roman" w:cs="Times New Roman"/>
                <w:b/>
                <w:bCs/>
                <w:sz w:val="24"/>
                <w:szCs w:val="24"/>
              </w:rPr>
              <w:t>I</w:t>
            </w:r>
          </w:p>
        </w:tc>
        <w:tc>
          <w:tcPr>
            <w:tcW w:w="6946" w:type="dxa"/>
            <w:shd w:val="clear" w:color="auto" w:fill="B4C6E7" w:themeFill="accent1" w:themeFillTint="66"/>
            <w:vAlign w:val="center"/>
          </w:tcPr>
          <w:p w14:paraId="7D8BD56E" w14:textId="77777777" w:rsidR="00831EA0" w:rsidRPr="00876E23" w:rsidRDefault="00831EA0" w:rsidP="00831EA0">
            <w:pPr>
              <w:rPr>
                <w:rFonts w:ascii="Times New Roman" w:hAnsi="Times New Roman" w:cs="Times New Roman"/>
                <w:b/>
                <w:bCs/>
                <w:sz w:val="24"/>
                <w:szCs w:val="24"/>
              </w:rPr>
            </w:pPr>
            <w:r w:rsidRPr="00876E23">
              <w:rPr>
                <w:rFonts w:ascii="Times New Roman" w:hAnsi="Times New Roman" w:cs="Times New Roman"/>
                <w:b/>
                <w:bCs/>
                <w:sz w:val="24"/>
                <w:szCs w:val="24"/>
              </w:rPr>
              <w:t>Значај пројекта</w:t>
            </w:r>
          </w:p>
        </w:tc>
        <w:tc>
          <w:tcPr>
            <w:tcW w:w="1240" w:type="dxa"/>
            <w:shd w:val="clear" w:color="auto" w:fill="B4C6E7" w:themeFill="accent1" w:themeFillTint="66"/>
            <w:vAlign w:val="center"/>
          </w:tcPr>
          <w:p w14:paraId="7887EB06" w14:textId="77777777" w:rsidR="00831EA0" w:rsidRPr="00876E23" w:rsidRDefault="00831EA0" w:rsidP="00831EA0">
            <w:pPr>
              <w:rPr>
                <w:rFonts w:ascii="Times New Roman" w:hAnsi="Times New Roman" w:cs="Times New Roman"/>
                <w:b/>
                <w:bCs/>
                <w:sz w:val="24"/>
                <w:szCs w:val="24"/>
              </w:rPr>
            </w:pPr>
          </w:p>
        </w:tc>
      </w:tr>
      <w:tr w:rsidR="00831EA0" w:rsidRPr="00876E23" w14:paraId="0B4D36DC" w14:textId="77777777" w:rsidTr="00831EA0">
        <w:trPr>
          <w:trHeight w:val="88"/>
        </w:trPr>
        <w:tc>
          <w:tcPr>
            <w:tcW w:w="831" w:type="dxa"/>
            <w:shd w:val="clear" w:color="auto" w:fill="auto"/>
            <w:vAlign w:val="center"/>
          </w:tcPr>
          <w:p w14:paraId="4C01BAB3" w14:textId="77777777" w:rsidR="00831EA0" w:rsidRPr="00876E23" w:rsidRDefault="00831EA0" w:rsidP="00831EA0">
            <w:pPr>
              <w:rPr>
                <w:rFonts w:ascii="Times New Roman" w:hAnsi="Times New Roman" w:cs="Times New Roman"/>
                <w:sz w:val="24"/>
                <w:szCs w:val="24"/>
                <w:lang w:val="sr-Cyrl-RS"/>
              </w:rPr>
            </w:pPr>
            <w:r w:rsidRPr="00876E23">
              <w:rPr>
                <w:rFonts w:ascii="Times New Roman" w:hAnsi="Times New Roman" w:cs="Times New Roman"/>
                <w:sz w:val="24"/>
                <w:szCs w:val="24"/>
                <w:lang w:val="sr-Cyrl-RS"/>
              </w:rPr>
              <w:t>1</w:t>
            </w:r>
          </w:p>
        </w:tc>
        <w:tc>
          <w:tcPr>
            <w:tcW w:w="6946" w:type="dxa"/>
            <w:shd w:val="clear" w:color="auto" w:fill="auto"/>
            <w:vAlign w:val="center"/>
          </w:tcPr>
          <w:p w14:paraId="796432CD"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Улога пројекта у развоју локалне заједнице (водити рачуна да се избегава синергија и понављање)</w:t>
            </w:r>
          </w:p>
        </w:tc>
        <w:tc>
          <w:tcPr>
            <w:tcW w:w="1240" w:type="dxa"/>
            <w:shd w:val="clear" w:color="auto" w:fill="auto"/>
            <w:vAlign w:val="center"/>
          </w:tcPr>
          <w:p w14:paraId="13FDD125"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lang w:val="sr-Cyrl-RS"/>
              </w:rPr>
              <w:t>10</w:t>
            </w:r>
          </w:p>
        </w:tc>
      </w:tr>
      <w:tr w:rsidR="00831EA0" w:rsidRPr="00876E23" w14:paraId="299B8A94" w14:textId="77777777" w:rsidTr="00831EA0">
        <w:trPr>
          <w:trHeight w:val="268"/>
        </w:trPr>
        <w:tc>
          <w:tcPr>
            <w:tcW w:w="831" w:type="dxa"/>
            <w:shd w:val="clear" w:color="auto" w:fill="auto"/>
            <w:vAlign w:val="center"/>
          </w:tcPr>
          <w:p w14:paraId="2C3E552A"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lang w:val="sr-Cyrl-RS"/>
              </w:rPr>
              <w:t>2</w:t>
            </w:r>
          </w:p>
        </w:tc>
        <w:tc>
          <w:tcPr>
            <w:tcW w:w="6946" w:type="dxa"/>
            <w:shd w:val="clear" w:color="auto" w:fill="auto"/>
            <w:vAlign w:val="center"/>
          </w:tcPr>
          <w:p w14:paraId="6E55EB6B"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су у пројекат укључене све стране, а пре свега жене, млади, угрожене групе? Ко су крајњи корисници?</w:t>
            </w:r>
          </w:p>
        </w:tc>
        <w:tc>
          <w:tcPr>
            <w:tcW w:w="1240" w:type="dxa"/>
            <w:shd w:val="clear" w:color="auto" w:fill="auto"/>
            <w:vAlign w:val="center"/>
          </w:tcPr>
          <w:p w14:paraId="71356CCB" w14:textId="77777777" w:rsidR="00831EA0" w:rsidRPr="00876E23" w:rsidRDefault="00831EA0" w:rsidP="00831EA0">
            <w:pPr>
              <w:rPr>
                <w:rFonts w:ascii="Times New Roman" w:hAnsi="Times New Roman" w:cs="Times New Roman"/>
                <w:sz w:val="24"/>
                <w:szCs w:val="24"/>
                <w:lang w:val="sr-Cyrl-RS"/>
              </w:rPr>
            </w:pPr>
            <w:r w:rsidRPr="00876E23">
              <w:rPr>
                <w:rFonts w:ascii="Times New Roman" w:hAnsi="Times New Roman" w:cs="Times New Roman"/>
                <w:sz w:val="24"/>
                <w:szCs w:val="24"/>
              </w:rPr>
              <w:t>10</w:t>
            </w:r>
          </w:p>
        </w:tc>
      </w:tr>
      <w:tr w:rsidR="00831EA0" w:rsidRPr="00876E23" w14:paraId="55DDB8A4" w14:textId="77777777" w:rsidTr="00831EA0">
        <w:trPr>
          <w:trHeight w:val="21"/>
        </w:trPr>
        <w:tc>
          <w:tcPr>
            <w:tcW w:w="831" w:type="dxa"/>
            <w:shd w:val="clear" w:color="auto" w:fill="auto"/>
            <w:vAlign w:val="center"/>
          </w:tcPr>
          <w:p w14:paraId="4F2019B8" w14:textId="77777777" w:rsidR="00831EA0" w:rsidRPr="00876E23" w:rsidRDefault="00831EA0" w:rsidP="00831EA0">
            <w:pPr>
              <w:rPr>
                <w:rFonts w:ascii="Times New Roman" w:hAnsi="Times New Roman" w:cs="Times New Roman"/>
                <w:sz w:val="24"/>
                <w:szCs w:val="24"/>
                <w:lang w:val="sr-Cyrl-RS"/>
              </w:rPr>
            </w:pPr>
            <w:r w:rsidRPr="00876E23">
              <w:rPr>
                <w:rFonts w:ascii="Times New Roman" w:hAnsi="Times New Roman" w:cs="Times New Roman"/>
                <w:sz w:val="24"/>
                <w:szCs w:val="24"/>
                <w:lang w:val="sr-Cyrl-RS"/>
              </w:rPr>
              <w:t>3</w:t>
            </w:r>
          </w:p>
        </w:tc>
        <w:tc>
          <w:tcPr>
            <w:tcW w:w="6946" w:type="dxa"/>
            <w:shd w:val="clear" w:color="auto" w:fill="auto"/>
            <w:vAlign w:val="center"/>
          </w:tcPr>
          <w:p w14:paraId="1D878C66"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Додате вредности (иновативност, промоција, једнаке могућности, друго)</w:t>
            </w:r>
          </w:p>
        </w:tc>
        <w:tc>
          <w:tcPr>
            <w:tcW w:w="1240" w:type="dxa"/>
            <w:shd w:val="clear" w:color="auto" w:fill="auto"/>
            <w:vAlign w:val="center"/>
          </w:tcPr>
          <w:p w14:paraId="7421F5C0"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10</w:t>
            </w:r>
          </w:p>
        </w:tc>
      </w:tr>
      <w:tr w:rsidR="00831EA0" w:rsidRPr="00876E23" w14:paraId="3BEF386C" w14:textId="77777777" w:rsidTr="00831EA0">
        <w:trPr>
          <w:trHeight w:val="174"/>
        </w:trPr>
        <w:tc>
          <w:tcPr>
            <w:tcW w:w="831" w:type="dxa"/>
            <w:shd w:val="clear" w:color="auto" w:fill="auto"/>
            <w:vAlign w:val="center"/>
          </w:tcPr>
          <w:p w14:paraId="36014904" w14:textId="77777777" w:rsidR="00831EA0" w:rsidRPr="00876E23" w:rsidRDefault="00831EA0" w:rsidP="00831EA0">
            <w:pPr>
              <w:rPr>
                <w:rFonts w:ascii="Times New Roman" w:hAnsi="Times New Roman" w:cs="Times New Roman"/>
                <w:sz w:val="24"/>
                <w:szCs w:val="24"/>
                <w:lang w:val="sr-Cyrl-RS"/>
              </w:rPr>
            </w:pPr>
            <w:r w:rsidRPr="00876E23">
              <w:rPr>
                <w:rFonts w:ascii="Times New Roman" w:hAnsi="Times New Roman" w:cs="Times New Roman"/>
                <w:sz w:val="24"/>
                <w:szCs w:val="24"/>
                <w:lang w:val="sr-Cyrl-RS"/>
              </w:rPr>
              <w:t>4</w:t>
            </w:r>
          </w:p>
        </w:tc>
        <w:tc>
          <w:tcPr>
            <w:tcW w:w="6946" w:type="dxa"/>
            <w:shd w:val="clear" w:color="auto" w:fill="auto"/>
            <w:vAlign w:val="center"/>
          </w:tcPr>
          <w:p w14:paraId="6A5AE555"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Утицај на повећање запослених</w:t>
            </w:r>
          </w:p>
        </w:tc>
        <w:tc>
          <w:tcPr>
            <w:tcW w:w="1240" w:type="dxa"/>
            <w:shd w:val="clear" w:color="auto" w:fill="auto"/>
            <w:vAlign w:val="center"/>
          </w:tcPr>
          <w:p w14:paraId="3C1CE7A3"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10</w:t>
            </w:r>
          </w:p>
        </w:tc>
      </w:tr>
      <w:tr w:rsidR="00831EA0" w:rsidRPr="00876E23" w14:paraId="17E7507F" w14:textId="77777777" w:rsidTr="00831EA0">
        <w:trPr>
          <w:trHeight w:val="349"/>
        </w:trPr>
        <w:tc>
          <w:tcPr>
            <w:tcW w:w="831" w:type="dxa"/>
            <w:shd w:val="clear" w:color="auto" w:fill="B4C6E7" w:themeFill="accent1" w:themeFillTint="66"/>
            <w:vAlign w:val="center"/>
          </w:tcPr>
          <w:p w14:paraId="635469C3" w14:textId="77777777" w:rsidR="00831EA0" w:rsidRPr="00876E23" w:rsidRDefault="00831EA0" w:rsidP="00831EA0">
            <w:pPr>
              <w:rPr>
                <w:rFonts w:ascii="Times New Roman" w:hAnsi="Times New Roman" w:cs="Times New Roman"/>
                <w:sz w:val="24"/>
                <w:szCs w:val="24"/>
              </w:rPr>
            </w:pPr>
          </w:p>
        </w:tc>
        <w:tc>
          <w:tcPr>
            <w:tcW w:w="6946" w:type="dxa"/>
            <w:shd w:val="clear" w:color="auto" w:fill="B4C6E7" w:themeFill="accent1" w:themeFillTint="66"/>
            <w:vAlign w:val="center"/>
          </w:tcPr>
          <w:p w14:paraId="386A5893"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Финансијски и оперативни капацитет</w:t>
            </w:r>
          </w:p>
        </w:tc>
        <w:tc>
          <w:tcPr>
            <w:tcW w:w="1240" w:type="dxa"/>
            <w:shd w:val="clear" w:color="auto" w:fill="B4C6E7" w:themeFill="accent1" w:themeFillTint="66"/>
            <w:vAlign w:val="center"/>
          </w:tcPr>
          <w:p w14:paraId="62D4C71B" w14:textId="77777777" w:rsidR="00831EA0" w:rsidRPr="00876E23" w:rsidRDefault="00831EA0" w:rsidP="00831EA0">
            <w:pPr>
              <w:rPr>
                <w:rFonts w:ascii="Times New Roman" w:hAnsi="Times New Roman" w:cs="Times New Roman"/>
                <w:sz w:val="24"/>
                <w:szCs w:val="24"/>
              </w:rPr>
            </w:pPr>
          </w:p>
        </w:tc>
      </w:tr>
      <w:tr w:rsidR="00831EA0" w:rsidRPr="00876E23" w14:paraId="216B5C0C" w14:textId="77777777" w:rsidTr="00831EA0">
        <w:trPr>
          <w:trHeight w:val="299"/>
        </w:trPr>
        <w:tc>
          <w:tcPr>
            <w:tcW w:w="831" w:type="dxa"/>
            <w:shd w:val="clear" w:color="auto" w:fill="auto"/>
            <w:vAlign w:val="center"/>
          </w:tcPr>
          <w:p w14:paraId="2007CB04"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w:t>
            </w:r>
          </w:p>
        </w:tc>
        <w:tc>
          <w:tcPr>
            <w:tcW w:w="6946" w:type="dxa"/>
            <w:shd w:val="clear" w:color="auto" w:fill="auto"/>
            <w:vAlign w:val="center"/>
          </w:tcPr>
          <w:p w14:paraId="660418BD"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Техничко и менаџерско искуство апликанта</w:t>
            </w:r>
          </w:p>
        </w:tc>
        <w:tc>
          <w:tcPr>
            <w:tcW w:w="1240" w:type="dxa"/>
            <w:shd w:val="clear" w:color="auto" w:fill="auto"/>
            <w:vAlign w:val="center"/>
          </w:tcPr>
          <w:p w14:paraId="46360505"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7D6BECE6" w14:textId="77777777" w:rsidTr="00831EA0">
        <w:trPr>
          <w:trHeight w:val="164"/>
        </w:trPr>
        <w:tc>
          <w:tcPr>
            <w:tcW w:w="831" w:type="dxa"/>
            <w:shd w:val="clear" w:color="auto" w:fill="auto"/>
            <w:vAlign w:val="center"/>
          </w:tcPr>
          <w:p w14:paraId="2EB6F9EC"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2</w:t>
            </w:r>
          </w:p>
        </w:tc>
        <w:tc>
          <w:tcPr>
            <w:tcW w:w="6946" w:type="dxa"/>
            <w:shd w:val="clear" w:color="auto" w:fill="auto"/>
            <w:vAlign w:val="center"/>
          </w:tcPr>
          <w:p w14:paraId="3C9EAA1A"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Стабилност и довољност извора финансирања апликанта</w:t>
            </w:r>
          </w:p>
        </w:tc>
        <w:tc>
          <w:tcPr>
            <w:tcW w:w="1240" w:type="dxa"/>
            <w:shd w:val="clear" w:color="auto" w:fill="auto"/>
            <w:vAlign w:val="center"/>
          </w:tcPr>
          <w:p w14:paraId="2DF07958"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6081F765" w14:textId="77777777" w:rsidTr="00831EA0">
        <w:trPr>
          <w:trHeight w:val="43"/>
        </w:trPr>
        <w:tc>
          <w:tcPr>
            <w:tcW w:w="831" w:type="dxa"/>
            <w:shd w:val="clear" w:color="auto" w:fill="B4C6E7" w:themeFill="accent1" w:themeFillTint="66"/>
            <w:vAlign w:val="center"/>
          </w:tcPr>
          <w:p w14:paraId="306C1BC8" w14:textId="77777777" w:rsidR="00831EA0" w:rsidRPr="00876E23" w:rsidRDefault="00831EA0" w:rsidP="00831EA0">
            <w:pPr>
              <w:rPr>
                <w:rFonts w:ascii="Times New Roman" w:hAnsi="Times New Roman" w:cs="Times New Roman"/>
                <w:sz w:val="24"/>
                <w:szCs w:val="24"/>
              </w:rPr>
            </w:pPr>
          </w:p>
        </w:tc>
        <w:tc>
          <w:tcPr>
            <w:tcW w:w="6946" w:type="dxa"/>
            <w:shd w:val="clear" w:color="auto" w:fill="B4C6E7" w:themeFill="accent1" w:themeFillTint="66"/>
            <w:vAlign w:val="center"/>
          </w:tcPr>
          <w:p w14:paraId="3E72949C"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Ефикасност и ефективности пројекта</w:t>
            </w:r>
          </w:p>
        </w:tc>
        <w:tc>
          <w:tcPr>
            <w:tcW w:w="1240" w:type="dxa"/>
            <w:shd w:val="clear" w:color="auto" w:fill="B4C6E7" w:themeFill="accent1" w:themeFillTint="66"/>
            <w:vAlign w:val="center"/>
          </w:tcPr>
          <w:p w14:paraId="4CBBED0D" w14:textId="77777777" w:rsidR="00831EA0" w:rsidRPr="00876E23" w:rsidRDefault="00831EA0" w:rsidP="00831EA0">
            <w:pPr>
              <w:rPr>
                <w:rFonts w:ascii="Times New Roman" w:hAnsi="Times New Roman" w:cs="Times New Roman"/>
                <w:sz w:val="24"/>
                <w:szCs w:val="24"/>
              </w:rPr>
            </w:pPr>
          </w:p>
        </w:tc>
      </w:tr>
      <w:tr w:rsidR="00831EA0" w:rsidRPr="00876E23" w14:paraId="5148C2F4" w14:textId="77777777" w:rsidTr="00831EA0">
        <w:trPr>
          <w:trHeight w:val="76"/>
        </w:trPr>
        <w:tc>
          <w:tcPr>
            <w:tcW w:w="831" w:type="dxa"/>
            <w:shd w:val="clear" w:color="auto" w:fill="auto"/>
            <w:vAlign w:val="center"/>
          </w:tcPr>
          <w:p w14:paraId="74FCB834"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w:t>
            </w:r>
          </w:p>
        </w:tc>
        <w:tc>
          <w:tcPr>
            <w:tcW w:w="6946" w:type="dxa"/>
            <w:shd w:val="clear" w:color="auto" w:fill="auto"/>
            <w:vAlign w:val="center"/>
          </w:tcPr>
          <w:p w14:paraId="1E338CEB"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су пројектне активности изводљиве?</w:t>
            </w:r>
          </w:p>
        </w:tc>
        <w:tc>
          <w:tcPr>
            <w:tcW w:w="1240" w:type="dxa"/>
            <w:shd w:val="clear" w:color="auto" w:fill="auto"/>
            <w:vAlign w:val="center"/>
          </w:tcPr>
          <w:p w14:paraId="3AB1C7BF"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67418AC6" w14:textId="77777777" w:rsidTr="00831EA0">
        <w:trPr>
          <w:trHeight w:val="96"/>
        </w:trPr>
        <w:tc>
          <w:tcPr>
            <w:tcW w:w="831" w:type="dxa"/>
            <w:shd w:val="clear" w:color="auto" w:fill="auto"/>
            <w:vAlign w:val="center"/>
          </w:tcPr>
          <w:p w14:paraId="6F6BD8F0"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2</w:t>
            </w:r>
          </w:p>
        </w:tc>
        <w:tc>
          <w:tcPr>
            <w:tcW w:w="6946" w:type="dxa"/>
            <w:shd w:val="clear" w:color="auto" w:fill="auto"/>
            <w:vAlign w:val="center"/>
          </w:tcPr>
          <w:p w14:paraId="176E6846"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је акциони план јасан и изводљив?</w:t>
            </w:r>
          </w:p>
        </w:tc>
        <w:tc>
          <w:tcPr>
            <w:tcW w:w="1240" w:type="dxa"/>
            <w:shd w:val="clear" w:color="auto" w:fill="auto"/>
            <w:vAlign w:val="center"/>
          </w:tcPr>
          <w:p w14:paraId="01A30D4A"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7A73239B" w14:textId="77777777" w:rsidTr="00831EA0">
        <w:trPr>
          <w:trHeight w:val="116"/>
        </w:trPr>
        <w:tc>
          <w:tcPr>
            <w:tcW w:w="831" w:type="dxa"/>
            <w:shd w:val="clear" w:color="auto" w:fill="auto"/>
            <w:vAlign w:val="center"/>
          </w:tcPr>
          <w:p w14:paraId="5875C54A"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3</w:t>
            </w:r>
          </w:p>
        </w:tc>
        <w:tc>
          <w:tcPr>
            <w:tcW w:w="6946" w:type="dxa"/>
            <w:shd w:val="clear" w:color="auto" w:fill="auto"/>
            <w:vAlign w:val="center"/>
          </w:tcPr>
          <w:p w14:paraId="391E9AC0"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је постављене индикаторе могуће објективно верификовати?</w:t>
            </w:r>
          </w:p>
        </w:tc>
        <w:tc>
          <w:tcPr>
            <w:tcW w:w="1240" w:type="dxa"/>
            <w:shd w:val="clear" w:color="auto" w:fill="auto"/>
            <w:vAlign w:val="center"/>
          </w:tcPr>
          <w:p w14:paraId="66237CAF"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6605254D" w14:textId="77777777" w:rsidTr="00831EA0">
        <w:trPr>
          <w:trHeight w:val="579"/>
        </w:trPr>
        <w:tc>
          <w:tcPr>
            <w:tcW w:w="831" w:type="dxa"/>
            <w:shd w:val="clear" w:color="auto" w:fill="auto"/>
            <w:vAlign w:val="center"/>
          </w:tcPr>
          <w:p w14:paraId="2E29EFF0"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4</w:t>
            </w:r>
          </w:p>
        </w:tc>
        <w:tc>
          <w:tcPr>
            <w:tcW w:w="6946" w:type="dxa"/>
            <w:shd w:val="clear" w:color="auto" w:fill="auto"/>
            <w:vAlign w:val="center"/>
          </w:tcPr>
          <w:p w14:paraId="400CF3C4" w14:textId="55B81A83" w:rsidR="00831EA0" w:rsidRPr="00876E23" w:rsidRDefault="00831EA0" w:rsidP="00FB17C8">
            <w:pPr>
              <w:rPr>
                <w:rFonts w:ascii="Times New Roman" w:hAnsi="Times New Roman" w:cs="Times New Roman"/>
                <w:sz w:val="24"/>
                <w:szCs w:val="24"/>
              </w:rPr>
            </w:pPr>
            <w:r w:rsidRPr="00876E23">
              <w:rPr>
                <w:rFonts w:ascii="Times New Roman" w:hAnsi="Times New Roman" w:cs="Times New Roman"/>
                <w:sz w:val="24"/>
                <w:szCs w:val="24"/>
              </w:rPr>
              <w:t>Да ли су у пројекту укључени партнери у довољној мери и да ли је њихова улога</w:t>
            </w:r>
            <w:r w:rsidR="00FB17C8">
              <w:rPr>
                <w:rFonts w:ascii="Times New Roman" w:hAnsi="Times New Roman" w:cs="Times New Roman"/>
                <w:sz w:val="24"/>
                <w:szCs w:val="24"/>
                <w:lang w:val="sr-Cyrl-RS"/>
              </w:rPr>
              <w:t xml:space="preserve"> </w:t>
            </w:r>
            <w:r w:rsidRPr="00876E23">
              <w:rPr>
                <w:rFonts w:ascii="Times New Roman" w:hAnsi="Times New Roman" w:cs="Times New Roman"/>
                <w:sz w:val="24"/>
                <w:szCs w:val="24"/>
              </w:rPr>
              <w:t>задовољавајућа? У случају да пројекат нема партнера, додељује се најнижа оцена.</w:t>
            </w:r>
          </w:p>
        </w:tc>
        <w:tc>
          <w:tcPr>
            <w:tcW w:w="1240" w:type="dxa"/>
            <w:shd w:val="clear" w:color="auto" w:fill="auto"/>
            <w:vAlign w:val="center"/>
          </w:tcPr>
          <w:p w14:paraId="4BF08AAE"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44436FA5" w14:textId="77777777" w:rsidTr="00831EA0">
        <w:trPr>
          <w:trHeight w:val="58"/>
        </w:trPr>
        <w:tc>
          <w:tcPr>
            <w:tcW w:w="831" w:type="dxa"/>
            <w:shd w:val="clear" w:color="auto" w:fill="B4C6E7" w:themeFill="accent1" w:themeFillTint="66"/>
            <w:vAlign w:val="center"/>
          </w:tcPr>
          <w:p w14:paraId="6E74F0FB" w14:textId="77777777" w:rsidR="00831EA0" w:rsidRPr="00876E23" w:rsidRDefault="00831EA0" w:rsidP="00831EA0">
            <w:pPr>
              <w:rPr>
                <w:rFonts w:ascii="Times New Roman" w:hAnsi="Times New Roman" w:cs="Times New Roman"/>
                <w:b/>
                <w:bCs/>
                <w:sz w:val="24"/>
                <w:szCs w:val="24"/>
              </w:rPr>
            </w:pPr>
          </w:p>
        </w:tc>
        <w:tc>
          <w:tcPr>
            <w:tcW w:w="6946" w:type="dxa"/>
            <w:shd w:val="clear" w:color="auto" w:fill="B4C6E7" w:themeFill="accent1" w:themeFillTint="66"/>
            <w:vAlign w:val="center"/>
          </w:tcPr>
          <w:p w14:paraId="174DD09C" w14:textId="77777777" w:rsidR="00831EA0" w:rsidRPr="00876E23" w:rsidRDefault="00831EA0" w:rsidP="00831EA0">
            <w:pPr>
              <w:rPr>
                <w:rFonts w:ascii="Times New Roman" w:hAnsi="Times New Roman" w:cs="Times New Roman"/>
                <w:b/>
                <w:bCs/>
                <w:sz w:val="24"/>
                <w:szCs w:val="24"/>
              </w:rPr>
            </w:pPr>
            <w:r w:rsidRPr="00876E23">
              <w:rPr>
                <w:rFonts w:ascii="Times New Roman" w:hAnsi="Times New Roman" w:cs="Times New Roman"/>
                <w:b/>
                <w:bCs/>
                <w:sz w:val="24"/>
                <w:szCs w:val="24"/>
              </w:rPr>
              <w:t>Одрживост</w:t>
            </w:r>
          </w:p>
        </w:tc>
        <w:tc>
          <w:tcPr>
            <w:tcW w:w="1240" w:type="dxa"/>
            <w:shd w:val="clear" w:color="auto" w:fill="B4C6E7" w:themeFill="accent1" w:themeFillTint="66"/>
            <w:vAlign w:val="center"/>
          </w:tcPr>
          <w:p w14:paraId="1F48BB3A" w14:textId="77777777" w:rsidR="00831EA0" w:rsidRPr="00876E23" w:rsidRDefault="00831EA0" w:rsidP="00831EA0">
            <w:pPr>
              <w:rPr>
                <w:rFonts w:ascii="Times New Roman" w:hAnsi="Times New Roman" w:cs="Times New Roman"/>
                <w:b/>
                <w:bCs/>
                <w:sz w:val="24"/>
                <w:szCs w:val="24"/>
              </w:rPr>
            </w:pPr>
          </w:p>
        </w:tc>
      </w:tr>
      <w:tr w:rsidR="00831EA0" w:rsidRPr="00876E23" w14:paraId="7F04535D" w14:textId="77777777" w:rsidTr="00831EA0">
        <w:trPr>
          <w:trHeight w:val="234"/>
        </w:trPr>
        <w:tc>
          <w:tcPr>
            <w:tcW w:w="831" w:type="dxa"/>
            <w:shd w:val="clear" w:color="auto" w:fill="auto"/>
            <w:vAlign w:val="center"/>
          </w:tcPr>
          <w:p w14:paraId="6A1EE308"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w:t>
            </w:r>
          </w:p>
        </w:tc>
        <w:tc>
          <w:tcPr>
            <w:tcW w:w="6946" w:type="dxa"/>
            <w:shd w:val="clear" w:color="auto" w:fill="auto"/>
            <w:vAlign w:val="center"/>
          </w:tcPr>
          <w:p w14:paraId="3DF89ECB"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Мултипликаторски ефекат пројекта</w:t>
            </w:r>
          </w:p>
        </w:tc>
        <w:tc>
          <w:tcPr>
            <w:tcW w:w="1240" w:type="dxa"/>
            <w:shd w:val="clear" w:color="auto" w:fill="auto"/>
            <w:vAlign w:val="center"/>
          </w:tcPr>
          <w:p w14:paraId="05F0B960"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10</w:t>
            </w:r>
          </w:p>
        </w:tc>
      </w:tr>
      <w:tr w:rsidR="00831EA0" w:rsidRPr="00876E23" w14:paraId="48E7778C" w14:textId="77777777" w:rsidTr="00831EA0">
        <w:trPr>
          <w:trHeight w:val="396"/>
        </w:trPr>
        <w:tc>
          <w:tcPr>
            <w:tcW w:w="831" w:type="dxa"/>
            <w:shd w:val="clear" w:color="auto" w:fill="auto"/>
            <w:vAlign w:val="center"/>
          </w:tcPr>
          <w:p w14:paraId="63FF1F87"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2</w:t>
            </w:r>
          </w:p>
        </w:tc>
        <w:tc>
          <w:tcPr>
            <w:tcW w:w="6946" w:type="dxa"/>
            <w:shd w:val="clear" w:color="auto" w:fill="auto"/>
            <w:vAlign w:val="center"/>
          </w:tcPr>
          <w:p w14:paraId="4D696AEA"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Финансијска, институционална, еколошка и политичка одрживост пројекта</w:t>
            </w:r>
          </w:p>
        </w:tc>
        <w:tc>
          <w:tcPr>
            <w:tcW w:w="1240" w:type="dxa"/>
            <w:shd w:val="clear" w:color="auto" w:fill="auto"/>
            <w:vAlign w:val="center"/>
          </w:tcPr>
          <w:p w14:paraId="603769EC"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10</w:t>
            </w:r>
          </w:p>
        </w:tc>
      </w:tr>
      <w:tr w:rsidR="00831EA0" w:rsidRPr="00876E23" w14:paraId="3187C46B" w14:textId="77777777" w:rsidTr="00831EA0">
        <w:trPr>
          <w:trHeight w:val="136"/>
        </w:trPr>
        <w:tc>
          <w:tcPr>
            <w:tcW w:w="831" w:type="dxa"/>
            <w:shd w:val="clear" w:color="auto" w:fill="B4C6E7" w:themeFill="accent1" w:themeFillTint="66"/>
            <w:vAlign w:val="center"/>
          </w:tcPr>
          <w:p w14:paraId="72E21684" w14:textId="77777777" w:rsidR="00831EA0" w:rsidRPr="00876E23" w:rsidRDefault="00831EA0" w:rsidP="00831EA0">
            <w:pPr>
              <w:rPr>
                <w:rFonts w:ascii="Times New Roman" w:hAnsi="Times New Roman" w:cs="Times New Roman"/>
                <w:b/>
                <w:bCs/>
                <w:sz w:val="24"/>
                <w:szCs w:val="24"/>
              </w:rPr>
            </w:pPr>
          </w:p>
        </w:tc>
        <w:tc>
          <w:tcPr>
            <w:tcW w:w="6946" w:type="dxa"/>
            <w:shd w:val="clear" w:color="auto" w:fill="B4C6E7" w:themeFill="accent1" w:themeFillTint="66"/>
            <w:vAlign w:val="center"/>
          </w:tcPr>
          <w:p w14:paraId="6686ABEE" w14:textId="77777777" w:rsidR="00831EA0" w:rsidRPr="00876E23" w:rsidRDefault="00831EA0" w:rsidP="00831EA0">
            <w:pPr>
              <w:rPr>
                <w:rFonts w:ascii="Times New Roman" w:hAnsi="Times New Roman" w:cs="Times New Roman"/>
                <w:b/>
                <w:bCs/>
                <w:sz w:val="24"/>
                <w:szCs w:val="24"/>
              </w:rPr>
            </w:pPr>
            <w:r w:rsidRPr="00876E23">
              <w:rPr>
                <w:rFonts w:ascii="Times New Roman" w:hAnsi="Times New Roman" w:cs="Times New Roman"/>
                <w:b/>
                <w:bCs/>
                <w:sz w:val="24"/>
                <w:szCs w:val="24"/>
              </w:rPr>
              <w:t>Буџет</w:t>
            </w:r>
          </w:p>
        </w:tc>
        <w:tc>
          <w:tcPr>
            <w:tcW w:w="1240" w:type="dxa"/>
            <w:shd w:val="clear" w:color="auto" w:fill="B4C6E7" w:themeFill="accent1" w:themeFillTint="66"/>
            <w:vAlign w:val="center"/>
          </w:tcPr>
          <w:p w14:paraId="577EAB8A" w14:textId="77777777" w:rsidR="00831EA0" w:rsidRPr="00876E23" w:rsidRDefault="00831EA0" w:rsidP="00831EA0">
            <w:pPr>
              <w:rPr>
                <w:rFonts w:ascii="Times New Roman" w:hAnsi="Times New Roman" w:cs="Times New Roman"/>
                <w:b/>
                <w:bCs/>
                <w:sz w:val="24"/>
                <w:szCs w:val="24"/>
              </w:rPr>
            </w:pPr>
          </w:p>
        </w:tc>
      </w:tr>
      <w:tr w:rsidR="00831EA0" w:rsidRPr="00876E23" w14:paraId="04CC6F01" w14:textId="77777777" w:rsidTr="00831EA0">
        <w:trPr>
          <w:trHeight w:val="21"/>
        </w:trPr>
        <w:tc>
          <w:tcPr>
            <w:tcW w:w="831" w:type="dxa"/>
            <w:shd w:val="clear" w:color="auto" w:fill="auto"/>
            <w:vAlign w:val="center"/>
          </w:tcPr>
          <w:p w14:paraId="40871D4E"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1</w:t>
            </w:r>
          </w:p>
        </w:tc>
        <w:tc>
          <w:tcPr>
            <w:tcW w:w="6946" w:type="dxa"/>
            <w:shd w:val="clear" w:color="auto" w:fill="auto"/>
            <w:vAlign w:val="center"/>
          </w:tcPr>
          <w:p w14:paraId="1A7C0A69"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су све активности реално обухваћене буџетом?</w:t>
            </w:r>
          </w:p>
        </w:tc>
        <w:tc>
          <w:tcPr>
            <w:tcW w:w="1240" w:type="dxa"/>
            <w:shd w:val="clear" w:color="auto" w:fill="auto"/>
            <w:vAlign w:val="center"/>
          </w:tcPr>
          <w:p w14:paraId="23A82627"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236AA592" w14:textId="77777777" w:rsidTr="00831EA0">
        <w:trPr>
          <w:trHeight w:val="21"/>
        </w:trPr>
        <w:tc>
          <w:tcPr>
            <w:tcW w:w="831" w:type="dxa"/>
            <w:shd w:val="clear" w:color="auto" w:fill="auto"/>
            <w:vAlign w:val="center"/>
          </w:tcPr>
          <w:p w14:paraId="31CB1BC2"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2</w:t>
            </w:r>
          </w:p>
        </w:tc>
        <w:tc>
          <w:tcPr>
            <w:tcW w:w="6946" w:type="dxa"/>
            <w:shd w:val="clear" w:color="auto" w:fill="auto"/>
            <w:vAlign w:val="center"/>
          </w:tcPr>
          <w:p w14:paraId="57F4A343"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Да ли је задовољавајућ однос између очекиваних резултата и процењених трошкова?</w:t>
            </w:r>
          </w:p>
        </w:tc>
        <w:tc>
          <w:tcPr>
            <w:tcW w:w="1240" w:type="dxa"/>
            <w:shd w:val="clear" w:color="auto" w:fill="auto"/>
            <w:vAlign w:val="center"/>
          </w:tcPr>
          <w:p w14:paraId="5F282D9C" w14:textId="77777777" w:rsidR="00831EA0" w:rsidRPr="00876E23" w:rsidRDefault="00831EA0" w:rsidP="00831EA0">
            <w:pPr>
              <w:rPr>
                <w:rFonts w:ascii="Times New Roman" w:hAnsi="Times New Roman" w:cs="Times New Roman"/>
                <w:sz w:val="24"/>
                <w:szCs w:val="24"/>
              </w:rPr>
            </w:pPr>
            <w:r w:rsidRPr="00876E23">
              <w:rPr>
                <w:rFonts w:ascii="Times New Roman" w:hAnsi="Times New Roman" w:cs="Times New Roman"/>
                <w:sz w:val="24"/>
                <w:szCs w:val="24"/>
              </w:rPr>
              <w:t>5</w:t>
            </w:r>
          </w:p>
        </w:tc>
      </w:tr>
      <w:tr w:rsidR="00831EA0" w:rsidRPr="00876E23" w14:paraId="22FB3194" w14:textId="77777777" w:rsidTr="00831EA0">
        <w:trPr>
          <w:trHeight w:val="263"/>
        </w:trPr>
        <w:tc>
          <w:tcPr>
            <w:tcW w:w="831" w:type="dxa"/>
            <w:shd w:val="clear" w:color="auto" w:fill="B4C6E7" w:themeFill="accent1" w:themeFillTint="66"/>
            <w:vAlign w:val="center"/>
          </w:tcPr>
          <w:p w14:paraId="4D5E9B18" w14:textId="77777777" w:rsidR="00831EA0" w:rsidRPr="00876E23" w:rsidRDefault="00831EA0" w:rsidP="00831EA0">
            <w:pPr>
              <w:rPr>
                <w:rFonts w:ascii="Times New Roman" w:hAnsi="Times New Roman" w:cs="Times New Roman"/>
                <w:sz w:val="24"/>
                <w:szCs w:val="24"/>
              </w:rPr>
            </w:pPr>
          </w:p>
        </w:tc>
        <w:tc>
          <w:tcPr>
            <w:tcW w:w="6946" w:type="dxa"/>
            <w:shd w:val="clear" w:color="auto" w:fill="B4C6E7" w:themeFill="accent1" w:themeFillTint="66"/>
            <w:vAlign w:val="center"/>
          </w:tcPr>
          <w:p w14:paraId="4170C561" w14:textId="77777777" w:rsidR="00831EA0" w:rsidRPr="00876E23" w:rsidRDefault="00831EA0" w:rsidP="00831EA0">
            <w:pPr>
              <w:rPr>
                <w:rFonts w:ascii="Times New Roman" w:hAnsi="Times New Roman" w:cs="Times New Roman"/>
                <w:b/>
                <w:sz w:val="24"/>
                <w:szCs w:val="24"/>
              </w:rPr>
            </w:pPr>
            <w:r w:rsidRPr="00876E23">
              <w:rPr>
                <w:rFonts w:ascii="Times New Roman" w:hAnsi="Times New Roman" w:cs="Times New Roman"/>
                <w:b/>
                <w:sz w:val="24"/>
                <w:szCs w:val="24"/>
              </w:rPr>
              <w:t>Укупно</w:t>
            </w:r>
          </w:p>
        </w:tc>
        <w:tc>
          <w:tcPr>
            <w:tcW w:w="1240" w:type="dxa"/>
            <w:shd w:val="clear" w:color="auto" w:fill="B4C6E7" w:themeFill="accent1" w:themeFillTint="66"/>
            <w:vAlign w:val="center"/>
          </w:tcPr>
          <w:p w14:paraId="1E50F607" w14:textId="77777777" w:rsidR="00831EA0" w:rsidRPr="00876E23" w:rsidRDefault="00831EA0" w:rsidP="00831EA0">
            <w:pPr>
              <w:rPr>
                <w:rFonts w:ascii="Times New Roman" w:hAnsi="Times New Roman" w:cs="Times New Roman"/>
                <w:b/>
                <w:sz w:val="24"/>
                <w:szCs w:val="24"/>
              </w:rPr>
            </w:pPr>
            <w:r w:rsidRPr="00876E23">
              <w:rPr>
                <w:rFonts w:ascii="Times New Roman" w:hAnsi="Times New Roman" w:cs="Times New Roman"/>
                <w:b/>
                <w:sz w:val="24"/>
                <w:szCs w:val="24"/>
              </w:rPr>
              <w:t>100</w:t>
            </w:r>
          </w:p>
        </w:tc>
      </w:tr>
    </w:tbl>
    <w:p w14:paraId="1EADC544" w14:textId="77777777" w:rsidR="00831EA0" w:rsidRPr="00876E23" w:rsidRDefault="00831EA0" w:rsidP="002B31FA">
      <w:pPr>
        <w:pStyle w:val="Tekst-1"/>
      </w:pPr>
      <w:r w:rsidRPr="00876E23">
        <w:t>Поред пројеката које ЛАГ као удружење директно пријављује (директни корисник), ЛАГ ”Јастребчанка” својим чланицама, али и другим актерима са подручја, даје писма препоруке приликом пријаве на мере у оквиру ИПАРД програма. Када је реч о писмима препоруке, пројекти се оцењују доделом бодова. Како би подносилац пројектног предлога добио писмо препоруке од ЛАГ-а, потребно је да оствари најмање 20 бодова у делу „Значај пројекта“, као и укупно минимум 60 бодова. Рокови додељивања писама препорука биће временски и технички укслађени са објављеним јавним позивима Управе за аграрна плаћања за доделу средстава из програма ИПАРД. Списак и краћи опис свих пројектних предлога који су добили писмо препоруке ће јавно бити објављени на званичној веб страници ЛАГ „Јастребчанка.</w:t>
      </w:r>
    </w:p>
    <w:p w14:paraId="05C78C41" w14:textId="614F30A1" w:rsidR="00730729" w:rsidRDefault="00730729" w:rsidP="006767C3">
      <w:pPr>
        <w:pStyle w:val="-1"/>
      </w:pPr>
      <w:bookmarkStart w:id="42" w:name="_Toc55208048"/>
      <w:r>
        <w:t>Опис процеса укључивања свих заинтересованих страна и шире друштвене заједнице у припреми Локалне стратегије руралног развоја</w:t>
      </w:r>
      <w:bookmarkEnd w:id="42"/>
    </w:p>
    <w:p w14:paraId="458F824C" w14:textId="3FE8C33E" w:rsidR="00D44343" w:rsidRDefault="0006491F" w:rsidP="0006491F">
      <w:pPr>
        <w:pStyle w:val="Tekst-1"/>
      </w:pPr>
      <w:r>
        <w:t>Подручје које покрива ЛАГ</w:t>
      </w:r>
      <w:r w:rsidR="0060358A">
        <w:t xml:space="preserve"> Јастребчанка</w:t>
      </w:r>
      <w:r>
        <w:t xml:space="preserve"> карактерише вишегодишња активност </w:t>
      </w:r>
      <w:r w:rsidR="0060358A">
        <w:t xml:space="preserve"> у сарадњи између приватног сектора и становништва. П</w:t>
      </w:r>
      <w:r>
        <w:t>ривредници који делују на територији ЛАГ-а, самостално и у партнерствима</w:t>
      </w:r>
      <w:r w:rsidR="0060358A">
        <w:t xml:space="preserve"> са општинама, становништвом, другим организацијама,</w:t>
      </w:r>
      <w:r>
        <w:t xml:space="preserve"> иницирали су и имплементирали значајан број</w:t>
      </w:r>
      <w:r w:rsidR="0060358A">
        <w:t xml:space="preserve"> друштвених,привредних и хуманитарних пројеката</w:t>
      </w:r>
      <w:r>
        <w:t xml:space="preserve"> пружали </w:t>
      </w:r>
      <w:r w:rsidR="0060358A">
        <w:t xml:space="preserve">су </w:t>
      </w:r>
      <w:r>
        <w:t>подршку локалним манифестацијама и појединцима којима је помоћ била неопходна.</w:t>
      </w:r>
    </w:p>
    <w:p w14:paraId="0285CD3C" w14:textId="59EFFC88" w:rsidR="007A0A3B" w:rsidRDefault="007A0A3B" w:rsidP="0006491F">
      <w:pPr>
        <w:pStyle w:val="Tekst-1"/>
      </w:pPr>
      <w:r>
        <w:t>Препозната је иницијатива</w:t>
      </w:r>
      <w:r w:rsidRPr="007A0A3B">
        <w:t xml:space="preserve"> цивилног сектора, коју је предводило Кинолош</w:t>
      </w:r>
      <w:r>
        <w:t>ко друштво Блаце од стране представника</w:t>
      </w:r>
      <w:r w:rsidRPr="007A0A3B">
        <w:t xml:space="preserve"> локалне самоуправе, јавних предузећа и устан</w:t>
      </w:r>
      <w:r>
        <w:t xml:space="preserve">ова са територија обе општине , који су и </w:t>
      </w:r>
      <w:r w:rsidRPr="007A0A3B">
        <w:t>дали учешће и активну подршку раду ЛАГ-а на стварању Партнерства. Стварању Партнерства за територијални рурални развој претходили су вишемесечни састанци, скупови и анимација већег броја заинтересованих локалних актера са територије општина Блаце и града Прокупље.</w:t>
      </w:r>
    </w:p>
    <w:p w14:paraId="41B653C8" w14:textId="261D5CAE" w:rsidR="00D44343" w:rsidRDefault="0006491F" w:rsidP="00D44343">
      <w:pPr>
        <w:pStyle w:val="Tekst-1"/>
      </w:pPr>
      <w:r>
        <w:t>У периоду од 19.08.2019. до данас, Локална акциона група „Јастребчанка“, самостално је зап</w:t>
      </w:r>
      <w:r w:rsidR="007A0A3B">
        <w:t>очела реализацију више активности</w:t>
      </w:r>
      <w:r>
        <w:t xml:space="preserve"> у циљу у</w:t>
      </w:r>
      <w:r w:rsidR="007A0A3B">
        <w:t>напређења рада организације</w:t>
      </w:r>
      <w:r>
        <w:t xml:space="preserve">, подизања капацитета саме организације и капацитета људских ресурса. Вршена је медијска промоција путем средстава јавног информисања у локалним медијима и на друштвеним мрежама и израђена је и фејсбук страница. </w:t>
      </w:r>
    </w:p>
    <w:p w14:paraId="4C9F792C" w14:textId="66B7E60A" w:rsidR="0006491F" w:rsidRDefault="0006491F" w:rsidP="00D44343">
      <w:pPr>
        <w:pStyle w:val="Tekst-1"/>
      </w:pPr>
      <w:r>
        <w:t>На локалним манифесатцијама</w:t>
      </w:r>
      <w:r w:rsidR="007A0A3B">
        <w:t>,</w:t>
      </w:r>
      <w:r>
        <w:t xml:space="preserve"> ЛАГ Јастребчанка дао је свој допринос организацији </w:t>
      </w:r>
      <w:r w:rsidRPr="00D44343">
        <w:rPr>
          <w:i/>
          <w:iCs/>
        </w:rPr>
        <w:t>Сајма вина</w:t>
      </w:r>
      <w:r>
        <w:t xml:space="preserve"> у Блацу и </w:t>
      </w:r>
      <w:r w:rsidRPr="00D44343">
        <w:rPr>
          <w:i/>
          <w:iCs/>
        </w:rPr>
        <w:t>Дана шљиве</w:t>
      </w:r>
      <w:r>
        <w:t>. Успостављени су контакти и сарадња са ЛАГ-овима из Хрватске, и Словеније у циљу унапређења рада саме организације. Успостављена ј</w:t>
      </w:r>
      <w:r w:rsidR="007A0A3B">
        <w:t>е веома добра сарадња</w:t>
      </w:r>
      <w:r>
        <w:t xml:space="preserve"> са </w:t>
      </w:r>
      <w:r w:rsidR="007A0A3B">
        <w:t xml:space="preserve">домаћим организацијама и установама које се баве развојем пољопривреде и регионалним развојем. </w:t>
      </w:r>
    </w:p>
    <w:p w14:paraId="794C8E9B" w14:textId="778CC3AF" w:rsidR="00807871" w:rsidRDefault="0006491F" w:rsidP="00807871">
      <w:pPr>
        <w:pStyle w:val="Tekst-1"/>
        <w:rPr>
          <w:color w:val="000000" w:themeColor="text1"/>
          <w:szCs w:val="24"/>
        </w:rPr>
      </w:pPr>
      <w:r>
        <w:rPr>
          <w:color w:val="000000" w:themeColor="text1"/>
          <w:szCs w:val="24"/>
        </w:rPr>
        <w:t xml:space="preserve">Током периода израде Локалне стратегије руралног развоја извршена је анализа ЛАГ подручја и прикупљени </w:t>
      </w:r>
      <w:r w:rsidR="007A0A3B">
        <w:rPr>
          <w:color w:val="000000" w:themeColor="text1"/>
          <w:szCs w:val="24"/>
        </w:rPr>
        <w:t xml:space="preserve">су </w:t>
      </w:r>
      <w:r>
        <w:rPr>
          <w:color w:val="000000" w:themeColor="text1"/>
          <w:szCs w:val="24"/>
        </w:rPr>
        <w:t>и обрађени доступни примарни и секундарни подаци о територији, рељефу, клими, земљишт</w:t>
      </w:r>
      <w:r w:rsidR="00897615">
        <w:rPr>
          <w:color w:val="000000" w:themeColor="text1"/>
          <w:szCs w:val="24"/>
        </w:rPr>
        <w:t>у</w:t>
      </w:r>
      <w:r>
        <w:rPr>
          <w:color w:val="000000" w:themeColor="text1"/>
          <w:szCs w:val="24"/>
        </w:rPr>
        <w:t>, становништву, демографским кретањима, привреди и др. Паралелно са прикупљањем података задужена лица вршила су анимацију локалних актера на терену учествујући на друштвеним догађајима, манифестацијама, приредбама и организујући сличне друштвене догађаје на којима се шире становништво у</w:t>
      </w:r>
      <w:r w:rsidR="007A0A3B">
        <w:rPr>
          <w:color w:val="000000" w:themeColor="text1"/>
          <w:szCs w:val="24"/>
        </w:rPr>
        <w:t>путило у значај</w:t>
      </w:r>
      <w:r>
        <w:rPr>
          <w:color w:val="000000" w:themeColor="text1"/>
          <w:szCs w:val="24"/>
        </w:rPr>
        <w:t xml:space="preserve"> ЛАГ-а. Током израде стратегије, од децембра 2019. до октобра 2020. одржано је 10 презентација ЛАГ-а, LEADER приступа и значаја удруживања у организације за територијални рурални развој и то</w:t>
      </w:r>
      <w:r w:rsidR="00897615">
        <w:rPr>
          <w:color w:val="000000" w:themeColor="text1"/>
          <w:szCs w:val="24"/>
        </w:rPr>
        <w:t>:</w:t>
      </w:r>
      <w:r>
        <w:rPr>
          <w:color w:val="000000" w:themeColor="text1"/>
          <w:szCs w:val="24"/>
        </w:rPr>
        <w:t xml:space="preserve">  </w:t>
      </w:r>
      <w:r w:rsidR="00897615">
        <w:rPr>
          <w:color w:val="000000" w:themeColor="text1"/>
          <w:szCs w:val="24"/>
        </w:rPr>
        <w:t>шест</w:t>
      </w:r>
      <w:r>
        <w:rPr>
          <w:color w:val="000000" w:themeColor="text1"/>
          <w:szCs w:val="24"/>
        </w:rPr>
        <w:t xml:space="preserve"> у Прокупљу и </w:t>
      </w:r>
      <w:r w:rsidR="00897615">
        <w:rPr>
          <w:color w:val="000000" w:themeColor="text1"/>
          <w:szCs w:val="24"/>
        </w:rPr>
        <w:t>четири</w:t>
      </w:r>
      <w:r>
        <w:rPr>
          <w:color w:val="000000" w:themeColor="text1"/>
          <w:szCs w:val="24"/>
        </w:rPr>
        <w:t xml:space="preserve"> у Блацу, где су се грађани директно могли информисати о изради ЛСРР, давати предлоге, примедбе и сугестије.</w:t>
      </w:r>
    </w:p>
    <w:p w14:paraId="43757B6B" w14:textId="5657C849" w:rsidR="005F6B8B" w:rsidRDefault="0006491F" w:rsidP="005F6B8B">
      <w:pPr>
        <w:pStyle w:val="Tekst-1"/>
        <w:rPr>
          <w:color w:val="000000" w:themeColor="text1"/>
          <w:szCs w:val="24"/>
        </w:rPr>
      </w:pPr>
      <w:r>
        <w:rPr>
          <w:color w:val="000000" w:themeColor="text1"/>
          <w:szCs w:val="24"/>
        </w:rPr>
        <w:t>Организоване су трибине по селима на територији Подручја</w:t>
      </w:r>
      <w:r w:rsidR="0060358A">
        <w:rPr>
          <w:color w:val="000000" w:themeColor="text1"/>
          <w:szCs w:val="24"/>
        </w:rPr>
        <w:t xml:space="preserve"> где се разговарало са становништвом</w:t>
      </w:r>
      <w:r>
        <w:rPr>
          <w:color w:val="000000" w:themeColor="text1"/>
          <w:szCs w:val="24"/>
        </w:rPr>
        <w:t>. Уз разговор са грађанима дељени су и упитници и анкетирани су грађани у вези састепеном информисаности о ЛАГ-у, квалитету живота у локалној заједници и потребама житеља локалне заједнице. Путем друштвених мрежа и локалних средстава јавног информисања грађанство је информисано</w:t>
      </w:r>
      <w:r w:rsidR="007A0A3B">
        <w:rPr>
          <w:color w:val="000000" w:themeColor="text1"/>
          <w:szCs w:val="24"/>
        </w:rPr>
        <w:t xml:space="preserve"> о раду организације и потреби укључивања грађана уразвој локалне заједнице</w:t>
      </w:r>
      <w:r>
        <w:rPr>
          <w:color w:val="000000" w:themeColor="text1"/>
          <w:szCs w:val="24"/>
        </w:rPr>
        <w:t xml:space="preserve">. У 2020. забележено је </w:t>
      </w:r>
      <w:r w:rsidR="005F6B8B">
        <w:rPr>
          <w:color w:val="000000" w:themeColor="text1"/>
          <w:szCs w:val="24"/>
        </w:rPr>
        <w:t>четири</w:t>
      </w:r>
      <w:r>
        <w:rPr>
          <w:color w:val="000000" w:themeColor="text1"/>
          <w:szCs w:val="24"/>
        </w:rPr>
        <w:t xml:space="preserve"> медијск</w:t>
      </w:r>
      <w:r w:rsidR="005F6B8B">
        <w:rPr>
          <w:color w:val="000000" w:themeColor="text1"/>
          <w:szCs w:val="24"/>
        </w:rPr>
        <w:t>а</w:t>
      </w:r>
      <w:r>
        <w:rPr>
          <w:color w:val="000000" w:themeColor="text1"/>
          <w:szCs w:val="24"/>
        </w:rPr>
        <w:t xml:space="preserve"> наступа на локалним</w:t>
      </w:r>
      <w:r w:rsidR="005F6B8B">
        <w:rPr>
          <w:color w:val="000000" w:themeColor="text1"/>
          <w:szCs w:val="24"/>
        </w:rPr>
        <w:t xml:space="preserve">/регионалним </w:t>
      </w:r>
      <w:r>
        <w:rPr>
          <w:color w:val="000000" w:themeColor="text1"/>
          <w:szCs w:val="24"/>
        </w:rPr>
        <w:t xml:space="preserve">медијима, Стручне службе за пољопривреду у Општинској управи Блаце и </w:t>
      </w:r>
      <w:r w:rsidR="005F6B8B">
        <w:rPr>
          <w:color w:val="000000" w:themeColor="text1"/>
          <w:szCs w:val="24"/>
        </w:rPr>
        <w:t>Г</w:t>
      </w:r>
      <w:r>
        <w:rPr>
          <w:color w:val="000000" w:themeColor="text1"/>
          <w:szCs w:val="24"/>
        </w:rPr>
        <w:t xml:space="preserve">радској управи града Прокупље у радно време информисала заинтересоване стране о свим питањима везаним за израду ЛСРР путем мејла и/или телефона. На друштвеним догађајима које је организовао ЛАГ у оквиру својих активности посебно се истицала потреба укључивања што већег броја локалних актера у прооцес израде ЛСРР, као што су састанци са Удружењем привредника, удружењем </w:t>
      </w:r>
      <w:r w:rsidR="005F6B8B">
        <w:rPr>
          <w:color w:val="000000" w:themeColor="text1"/>
          <w:szCs w:val="24"/>
        </w:rPr>
        <w:t>за пољопривреду „</w:t>
      </w:r>
      <w:r>
        <w:rPr>
          <w:color w:val="000000" w:themeColor="text1"/>
          <w:szCs w:val="24"/>
        </w:rPr>
        <w:t>Агроун</w:t>
      </w:r>
      <w:r w:rsidR="005F6B8B">
        <w:rPr>
          <w:color w:val="000000" w:themeColor="text1"/>
          <w:szCs w:val="24"/>
        </w:rPr>
        <w:t>“</w:t>
      </w:r>
      <w:r>
        <w:rPr>
          <w:color w:val="000000" w:themeColor="text1"/>
          <w:szCs w:val="24"/>
        </w:rPr>
        <w:t xml:space="preserve">, Пољопривредном задругом </w:t>
      </w:r>
      <w:r w:rsidR="005F6B8B">
        <w:rPr>
          <w:color w:val="000000" w:themeColor="text1"/>
          <w:szCs w:val="24"/>
        </w:rPr>
        <w:t>„</w:t>
      </w:r>
      <w:r>
        <w:rPr>
          <w:color w:val="000000" w:themeColor="text1"/>
          <w:szCs w:val="24"/>
        </w:rPr>
        <w:t>Умац</w:t>
      </w:r>
      <w:r w:rsidR="005F6B8B">
        <w:rPr>
          <w:color w:val="000000" w:themeColor="text1"/>
          <w:szCs w:val="24"/>
        </w:rPr>
        <w:t>“</w:t>
      </w:r>
      <w:r>
        <w:rPr>
          <w:color w:val="000000" w:themeColor="text1"/>
          <w:szCs w:val="24"/>
        </w:rPr>
        <w:t xml:space="preserve"> и сл.</w:t>
      </w:r>
    </w:p>
    <w:p w14:paraId="78FD9884" w14:textId="77777777" w:rsidR="001A1845" w:rsidRDefault="0006491F" w:rsidP="001A1845">
      <w:pPr>
        <w:pStyle w:val="Tekst-1"/>
        <w:rPr>
          <w:color w:val="000000" w:themeColor="text1"/>
          <w:szCs w:val="24"/>
        </w:rPr>
      </w:pPr>
      <w:r>
        <w:rPr>
          <w:color w:val="000000" w:themeColor="text1"/>
          <w:szCs w:val="24"/>
        </w:rPr>
        <w:t xml:space="preserve">Иновативни модел који је ЛАГ „Јастребчанка“ применио у циљу анимације и информисања заинтересованих лица јесте одржавање </w:t>
      </w:r>
      <w:r w:rsidR="00477F32">
        <w:rPr>
          <w:color w:val="000000" w:themeColor="text1"/>
          <w:szCs w:val="24"/>
        </w:rPr>
        <w:t>пет</w:t>
      </w:r>
      <w:r>
        <w:rPr>
          <w:color w:val="000000" w:themeColor="text1"/>
          <w:szCs w:val="24"/>
        </w:rPr>
        <w:t xml:space="preserve"> састанака путем ZOOM платформе. Овакав вид комуникације настао је због ограни</w:t>
      </w:r>
      <w:r w:rsidR="00477F32">
        <w:rPr>
          <w:color w:val="000000" w:themeColor="text1"/>
          <w:szCs w:val="24"/>
        </w:rPr>
        <w:t>ч</w:t>
      </w:r>
      <w:r>
        <w:rPr>
          <w:color w:val="000000" w:themeColor="text1"/>
          <w:szCs w:val="24"/>
        </w:rPr>
        <w:t xml:space="preserve">ених кретања због ширења заразне болести </w:t>
      </w:r>
      <w:r w:rsidR="00477F32">
        <w:rPr>
          <w:color w:val="000000" w:themeColor="text1"/>
          <w:szCs w:val="24"/>
        </w:rPr>
        <w:t xml:space="preserve">– </w:t>
      </w:r>
      <w:r>
        <w:rPr>
          <w:color w:val="000000" w:themeColor="text1"/>
          <w:szCs w:val="24"/>
        </w:rPr>
        <w:t xml:space="preserve">вируса </w:t>
      </w:r>
      <w:r w:rsidR="00477F32">
        <w:rPr>
          <w:color w:val="000000" w:themeColor="text1"/>
          <w:szCs w:val="24"/>
          <w:lang w:val="sr-Latn-RS"/>
        </w:rPr>
        <w:t>COVID</w:t>
      </w:r>
      <w:r w:rsidR="00477F32">
        <w:rPr>
          <w:color w:val="000000" w:themeColor="text1"/>
          <w:szCs w:val="24"/>
        </w:rPr>
        <w:t>-</w:t>
      </w:r>
      <w:r>
        <w:rPr>
          <w:color w:val="000000" w:themeColor="text1"/>
          <w:szCs w:val="24"/>
        </w:rPr>
        <w:t>19. Поред својих редовних активности, ЛАГ је самостално или уз координацију са другим удружењима организовао и догађаје из различитих друштвених сфера живота окупивши већи број људи на тај начин их посредно, уз примарну тему израде ЛСРР, информисао о раду и циљевима организације.</w:t>
      </w:r>
      <w:r w:rsidR="00477F32">
        <w:rPr>
          <w:color w:val="000000" w:themeColor="text1"/>
          <w:szCs w:val="24"/>
        </w:rPr>
        <w:t xml:space="preserve"> </w:t>
      </w:r>
      <w:r>
        <w:rPr>
          <w:color w:val="000000" w:themeColor="text1"/>
          <w:szCs w:val="24"/>
        </w:rPr>
        <w:t xml:space="preserve">Неки заинтересовани </w:t>
      </w:r>
      <w:r w:rsidR="00477F32">
        <w:rPr>
          <w:color w:val="000000" w:themeColor="text1"/>
          <w:szCs w:val="24"/>
        </w:rPr>
        <w:t xml:space="preserve">појединци </w:t>
      </w:r>
      <w:r>
        <w:rPr>
          <w:color w:val="000000" w:themeColor="text1"/>
          <w:szCs w:val="24"/>
        </w:rPr>
        <w:t xml:space="preserve">за одређену друштвену тему су тако по први пут били информисани о предностима и </w:t>
      </w:r>
      <w:r w:rsidR="00477F32">
        <w:rPr>
          <w:color w:val="000000" w:themeColor="text1"/>
          <w:szCs w:val="24"/>
        </w:rPr>
        <w:t>значају</w:t>
      </w:r>
      <w:r>
        <w:rPr>
          <w:color w:val="000000" w:themeColor="text1"/>
          <w:szCs w:val="24"/>
        </w:rPr>
        <w:t xml:space="preserve"> организација за територијални рурални развој</w:t>
      </w:r>
      <w:r w:rsidR="00477F32">
        <w:rPr>
          <w:color w:val="000000" w:themeColor="text1"/>
          <w:szCs w:val="24"/>
        </w:rPr>
        <w:t xml:space="preserve">. </w:t>
      </w:r>
      <w:r>
        <w:rPr>
          <w:color w:val="000000" w:themeColor="text1"/>
          <w:szCs w:val="24"/>
        </w:rPr>
        <w:t xml:space="preserve">Упитници су дељени и на друштвеним догађајима и манифестацијама у насељеним местима ЛАГ подручја као и у месним канцеларијама. Укупно је на овај начин анкетирано 214  испитаника, 67 особа је попунило анкету током одржаних сатанака док је 147 анкету попунило онлајн што чини </w:t>
      </w:r>
      <w:r w:rsidR="006867AC">
        <w:rPr>
          <w:color w:val="000000" w:themeColor="text1"/>
          <w:szCs w:val="24"/>
        </w:rPr>
        <w:t>1</w:t>
      </w:r>
      <w:r w:rsidR="00477F32">
        <w:rPr>
          <w:color w:val="000000" w:themeColor="text1"/>
          <w:szCs w:val="24"/>
        </w:rPr>
        <w:t>,</w:t>
      </w:r>
      <w:r w:rsidR="006867AC">
        <w:rPr>
          <w:color w:val="000000" w:themeColor="text1"/>
          <w:szCs w:val="24"/>
        </w:rPr>
        <w:t>4</w:t>
      </w:r>
      <w:r w:rsidR="00477F32">
        <w:rPr>
          <w:color w:val="000000" w:themeColor="text1"/>
          <w:szCs w:val="24"/>
        </w:rPr>
        <w:t xml:space="preserve"> одсто</w:t>
      </w:r>
      <w:r>
        <w:rPr>
          <w:color w:val="000000" w:themeColor="text1"/>
          <w:szCs w:val="24"/>
        </w:rPr>
        <w:t xml:space="preserve"> становништва са ЛАГ подручја.</w:t>
      </w:r>
    </w:p>
    <w:p w14:paraId="6D23E49C" w14:textId="57718CF4" w:rsidR="001A1845" w:rsidRDefault="0006491F" w:rsidP="001A1845">
      <w:pPr>
        <w:pStyle w:val="Tekst-1"/>
        <w:rPr>
          <w:color w:val="000000" w:themeColor="text1"/>
          <w:szCs w:val="24"/>
        </w:rPr>
      </w:pPr>
      <w:r>
        <w:rPr>
          <w:color w:val="000000" w:themeColor="text1"/>
          <w:szCs w:val="24"/>
        </w:rPr>
        <w:t xml:space="preserve">Модел анимације који је током израде стратегије примењен били су и директни састанци </w:t>
      </w:r>
      <w:r w:rsidR="006D6E1C">
        <w:rPr>
          <w:color w:val="000000" w:themeColor="text1"/>
          <w:szCs w:val="24"/>
        </w:rPr>
        <w:t>ангажованих лица ЛАГ-а (</w:t>
      </w:r>
      <w:r>
        <w:rPr>
          <w:color w:val="000000" w:themeColor="text1"/>
          <w:szCs w:val="24"/>
        </w:rPr>
        <w:t xml:space="preserve"> чланова и експерата) са представницима удружења цивилног друштва и других организација (састанци један на један). Услед отежаних услова кретања и забране окупљања већег броја лица због присуства пандемије изазване COVID 19, овакав начин рада је био не само изнуђен и потребан већ и више него целисходан и продуктиван, будући да су заинтересовани локални актери директно ступили у контакт са ангажованим лицима и изградили однос поверења. На овај начин дошло се до више пројектних предлога који су током израде ЛСРР формулисани и артикулисани у напред</w:t>
      </w:r>
      <w:r w:rsidR="0060358A">
        <w:rPr>
          <w:color w:val="000000" w:themeColor="text1"/>
          <w:szCs w:val="24"/>
        </w:rPr>
        <w:t xml:space="preserve"> наведеној форми</w:t>
      </w:r>
      <w:r>
        <w:rPr>
          <w:color w:val="000000" w:themeColor="text1"/>
          <w:szCs w:val="24"/>
        </w:rPr>
        <w:t>.</w:t>
      </w:r>
    </w:p>
    <w:p w14:paraId="46CF2BF0" w14:textId="49D4E56A" w:rsidR="0006491F" w:rsidRDefault="0006491F" w:rsidP="001A1845">
      <w:pPr>
        <w:pStyle w:val="Tekst-1"/>
        <w:rPr>
          <w:color w:val="000000" w:themeColor="text1"/>
          <w:szCs w:val="24"/>
        </w:rPr>
      </w:pPr>
      <w:r>
        <w:rPr>
          <w:color w:val="000000" w:themeColor="text1"/>
          <w:szCs w:val="24"/>
        </w:rPr>
        <w:t xml:space="preserve">У периоду јануар – октобар 2020. </w:t>
      </w:r>
      <w:r w:rsidR="001A1845">
        <w:rPr>
          <w:color w:val="000000" w:themeColor="text1"/>
          <w:szCs w:val="24"/>
        </w:rPr>
        <w:t>о</w:t>
      </w:r>
      <w:r>
        <w:rPr>
          <w:color w:val="000000" w:themeColor="text1"/>
          <w:szCs w:val="24"/>
        </w:rPr>
        <w:t xml:space="preserve">држана су 27 састанка са заинтересованим локалим актерима и члановима ЛАГ-а од тога 10 састанака са представницима јавног сектора, 15 састанака са представницима цивилног сектора и </w:t>
      </w:r>
      <w:r w:rsidR="006D6E1C">
        <w:rPr>
          <w:color w:val="000000" w:themeColor="text1"/>
          <w:szCs w:val="24"/>
        </w:rPr>
        <w:t>2</w:t>
      </w:r>
      <w:r>
        <w:rPr>
          <w:color w:val="000000" w:themeColor="text1"/>
          <w:szCs w:val="24"/>
        </w:rPr>
        <w:t xml:space="preserve"> састанка са представницима приватног сектора. Посећене су организације у скоро  свим насељеним местима ЛАГ-а.</w:t>
      </w:r>
    </w:p>
    <w:p w14:paraId="14D56743" w14:textId="363A35FF" w:rsidR="0006491F" w:rsidRDefault="0006491F" w:rsidP="001A1845">
      <w:pPr>
        <w:pStyle w:val="Tekst-1"/>
      </w:pPr>
      <w:r>
        <w:tab/>
        <w:t>Применом наведених модела укључивања заинтересованих страна дошло се</w:t>
      </w:r>
      <w:r w:rsidR="006D6E1C">
        <w:t xml:space="preserve"> до квалитетних предлога будућих активности </w:t>
      </w:r>
      <w:r>
        <w:t xml:space="preserve"> и више десетина заинтересованих физичких лица која свој</w:t>
      </w:r>
      <w:r w:rsidR="006D6E1C">
        <w:t xml:space="preserve">им деловањем имају жељу да се укључе у даљи рад ЛАГА-а Јастребчанка. </w:t>
      </w:r>
    </w:p>
    <w:p w14:paraId="7AC7D40E" w14:textId="11FC2504" w:rsidR="00730729" w:rsidRDefault="00730729" w:rsidP="006767C3">
      <w:pPr>
        <w:pStyle w:val="-1"/>
      </w:pPr>
      <w:bookmarkStart w:id="43" w:name="_Toc55208049"/>
      <w:r>
        <w:t>Индикативна листа приоритетних пројеката – Акциони план спровођења Локалне стратегије руралног развоја</w:t>
      </w:r>
      <w:bookmarkEnd w:id="43"/>
    </w:p>
    <w:tbl>
      <w:tblPr>
        <w:tblStyle w:val="TableGrid1"/>
        <w:tblW w:w="5000" w:type="pct"/>
        <w:tblLayout w:type="fixed"/>
        <w:tblLook w:val="04A0" w:firstRow="1" w:lastRow="0" w:firstColumn="1" w:lastColumn="0" w:noHBand="0" w:noVBand="1"/>
      </w:tblPr>
      <w:tblGrid>
        <w:gridCol w:w="2280"/>
        <w:gridCol w:w="6963"/>
      </w:tblGrid>
      <w:tr w:rsidR="006101CE" w:rsidRPr="003B2350" w14:paraId="35343F46" w14:textId="77777777" w:rsidTr="006D6E1C">
        <w:tc>
          <w:tcPr>
            <w:tcW w:w="2280" w:type="dxa"/>
          </w:tcPr>
          <w:p w14:paraId="67A91AD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
                <w:bCs/>
                <w:color w:val="000000"/>
                <w:sz w:val="24"/>
                <w:szCs w:val="24"/>
              </w:rPr>
              <w:t>Пројекат бр. 1.</w:t>
            </w:r>
          </w:p>
        </w:tc>
        <w:tc>
          <w:tcPr>
            <w:tcW w:w="6963" w:type="dxa"/>
          </w:tcPr>
          <w:p w14:paraId="5D76E4CC" w14:textId="77777777" w:rsidR="006101CE" w:rsidRPr="003B2350" w:rsidRDefault="006101CE" w:rsidP="006101CE">
            <w:pPr>
              <w:rPr>
                <w:rFonts w:ascii="Times New Roman" w:hAnsi="Times New Roman" w:cs="Times New Roman"/>
                <w:bCs/>
                <w:sz w:val="24"/>
                <w:szCs w:val="24"/>
                <w:lang w:val="sr-Cyrl-RS"/>
              </w:rPr>
            </w:pPr>
          </w:p>
        </w:tc>
      </w:tr>
      <w:tr w:rsidR="006101CE" w:rsidRPr="003B2350" w14:paraId="2DC28186" w14:textId="77777777" w:rsidTr="006D6E1C">
        <w:tc>
          <w:tcPr>
            <w:tcW w:w="2280" w:type="dxa"/>
          </w:tcPr>
          <w:p w14:paraId="306C401D"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43E470A7"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1.1. - Развој конкурентне и одрживе пољопривреде  </w:t>
            </w:r>
          </w:p>
        </w:tc>
      </w:tr>
      <w:tr w:rsidR="006101CE" w:rsidRPr="003B2350" w14:paraId="5B66F596" w14:textId="77777777" w:rsidTr="006D6E1C">
        <w:tc>
          <w:tcPr>
            <w:tcW w:w="2280" w:type="dxa"/>
          </w:tcPr>
          <w:p w14:paraId="19EFB6C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1C4342D0"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3C90A60D" w14:textId="77777777" w:rsidTr="006D6E1C">
        <w:tc>
          <w:tcPr>
            <w:tcW w:w="2280" w:type="dxa"/>
          </w:tcPr>
          <w:p w14:paraId="101751F9"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17E85509" w14:textId="1DACFA9E"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4712F011"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Подстицање  тржишно орјентисане пољопривреде , финализације и диверзификације пољоприврене производње„ Заједно стварамо синергију“</w:t>
            </w:r>
          </w:p>
        </w:tc>
      </w:tr>
      <w:tr w:rsidR="006101CE" w:rsidRPr="003B2350" w14:paraId="114A5513" w14:textId="77777777" w:rsidTr="006D6E1C">
        <w:tc>
          <w:tcPr>
            <w:tcW w:w="2280" w:type="dxa"/>
          </w:tcPr>
          <w:p w14:paraId="143F0D7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51F3CE9E"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2021-2023 година</w:t>
            </w:r>
          </w:p>
        </w:tc>
      </w:tr>
      <w:tr w:rsidR="006101CE" w:rsidRPr="003B2350" w14:paraId="13418FB1" w14:textId="77777777" w:rsidTr="006D6E1C">
        <w:tc>
          <w:tcPr>
            <w:tcW w:w="2280" w:type="dxa"/>
          </w:tcPr>
          <w:p w14:paraId="6BAE6CED"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1D95B4B0" w14:textId="31E08760"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Пољопривредници,</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РПГ,</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предузетници, становништво, ЈЛС</w:t>
            </w:r>
          </w:p>
        </w:tc>
      </w:tr>
      <w:tr w:rsidR="006101CE" w:rsidRPr="003B2350" w14:paraId="6CB2E25D" w14:textId="77777777" w:rsidTr="006D6E1C">
        <w:tc>
          <w:tcPr>
            <w:tcW w:w="2280" w:type="dxa"/>
          </w:tcPr>
          <w:p w14:paraId="5532454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049895AE" w14:textId="0DB63E20"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ЈЛС,кредити други извори</w:t>
            </w:r>
          </w:p>
        </w:tc>
      </w:tr>
      <w:tr w:rsidR="006101CE" w:rsidRPr="003B2350" w14:paraId="0695E384" w14:textId="77777777" w:rsidTr="006D6E1C">
        <w:tc>
          <w:tcPr>
            <w:tcW w:w="2280" w:type="dxa"/>
          </w:tcPr>
          <w:p w14:paraId="25A305CB" w14:textId="237A19B5"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е. Вредност пројекта.</w:t>
            </w:r>
          </w:p>
        </w:tc>
        <w:tc>
          <w:tcPr>
            <w:tcW w:w="6963" w:type="dxa"/>
          </w:tcPr>
          <w:p w14:paraId="7A2207E5" w14:textId="38D36C46"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2.000.000,00 </w:t>
            </w:r>
            <w:r w:rsidR="003B2350">
              <w:rPr>
                <w:rFonts w:ascii="Times New Roman" w:hAnsi="Times New Roman" w:cs="Times New Roman"/>
                <w:bCs/>
                <w:color w:val="000000"/>
                <w:sz w:val="24"/>
                <w:szCs w:val="24"/>
                <w:lang w:val="sr-Cyrl-RS"/>
              </w:rPr>
              <w:t>дин</w:t>
            </w:r>
          </w:p>
        </w:tc>
      </w:tr>
      <w:tr w:rsidR="006101CE" w:rsidRPr="003B2350" w14:paraId="7FC26CB0" w14:textId="77777777" w:rsidTr="006D6E1C">
        <w:tc>
          <w:tcPr>
            <w:tcW w:w="2280" w:type="dxa"/>
          </w:tcPr>
          <w:p w14:paraId="3F45F43A" w14:textId="71A9E084"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w:t>
            </w:r>
            <w:r w:rsidR="003B2350">
              <w:rPr>
                <w:rFonts w:ascii="Times New Roman" w:hAnsi="Times New Roman" w:cs="Times New Roman"/>
                <w:b/>
                <w:bCs/>
                <w:color w:val="000000"/>
                <w:sz w:val="24"/>
                <w:szCs w:val="24"/>
                <w:lang w:val="sr-Cyrl-RS"/>
              </w:rPr>
              <w:t xml:space="preserve"> </w:t>
            </w:r>
            <w:r w:rsidRPr="003B2350">
              <w:rPr>
                <w:rFonts w:ascii="Times New Roman" w:hAnsi="Times New Roman" w:cs="Times New Roman"/>
                <w:b/>
                <w:bCs/>
                <w:color w:val="000000"/>
                <w:sz w:val="24"/>
                <w:szCs w:val="24"/>
                <w:lang w:val="sr-Cyrl-RS"/>
              </w:rPr>
              <w:t>2</w:t>
            </w:r>
          </w:p>
          <w:p w14:paraId="79B73487"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p>
        </w:tc>
        <w:tc>
          <w:tcPr>
            <w:tcW w:w="6963" w:type="dxa"/>
          </w:tcPr>
          <w:p w14:paraId="0467089F"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570568E5" w14:textId="77777777" w:rsidTr="006D6E1C">
        <w:tc>
          <w:tcPr>
            <w:tcW w:w="2280" w:type="dxa"/>
          </w:tcPr>
          <w:p w14:paraId="60D08D3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3BC6DC7D"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1.1. - Развој конкурентне и одрживе пољопривреде  </w:t>
            </w:r>
          </w:p>
        </w:tc>
      </w:tr>
      <w:tr w:rsidR="006101CE" w:rsidRPr="003B2350" w14:paraId="2E20EFF4" w14:textId="77777777" w:rsidTr="006D6E1C">
        <w:tc>
          <w:tcPr>
            <w:tcW w:w="2280" w:type="dxa"/>
          </w:tcPr>
          <w:p w14:paraId="05960FF5"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68EED9A8"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r w:rsidRPr="003B2350">
              <w:rPr>
                <w:rFonts w:ascii="Times New Roman" w:hAnsi="Times New Roman" w:cs="Times New Roman"/>
                <w:sz w:val="24"/>
                <w:szCs w:val="24"/>
                <w:lang w:val="sr-Cyrl-RS"/>
              </w:rPr>
              <w:t xml:space="preserve"> </w:t>
            </w:r>
          </w:p>
        </w:tc>
      </w:tr>
      <w:tr w:rsidR="006101CE" w:rsidRPr="003B2350" w14:paraId="0948B54D" w14:textId="77777777" w:rsidTr="006D6E1C">
        <w:tc>
          <w:tcPr>
            <w:tcW w:w="2280" w:type="dxa"/>
          </w:tcPr>
          <w:p w14:paraId="0C708039"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40A22906" w14:textId="1E39048E"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280CACAA"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Подстицање увођења ознака квалитета, брендирања и увођење нових маркетиншких алата за промоцију домаћих пољопривредних производа</w:t>
            </w:r>
          </w:p>
        </w:tc>
      </w:tr>
      <w:tr w:rsidR="006101CE" w:rsidRPr="003B2350" w14:paraId="2841DA6B" w14:textId="77777777" w:rsidTr="006D6E1C">
        <w:tc>
          <w:tcPr>
            <w:tcW w:w="2280" w:type="dxa"/>
          </w:tcPr>
          <w:p w14:paraId="455FFFA6"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0EDF5162"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2021-2023</w:t>
            </w:r>
          </w:p>
        </w:tc>
      </w:tr>
      <w:tr w:rsidR="006101CE" w:rsidRPr="003B2350" w14:paraId="41A527F9" w14:textId="77777777" w:rsidTr="006D6E1C">
        <w:tc>
          <w:tcPr>
            <w:tcW w:w="2280" w:type="dxa"/>
          </w:tcPr>
          <w:p w14:paraId="01650F18"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1D00C57E" w14:textId="2897A559"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Пољопривредници,</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rPr>
              <w:t>РПГ,</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rPr>
              <w:t>предузетници, становништво</w:t>
            </w:r>
            <w:r w:rsidRPr="003B2350">
              <w:rPr>
                <w:rFonts w:ascii="Times New Roman" w:hAnsi="Times New Roman" w:cs="Times New Roman"/>
                <w:bCs/>
                <w:color w:val="000000"/>
                <w:sz w:val="24"/>
                <w:szCs w:val="24"/>
                <w:lang w:val="sr-Cyrl-RS"/>
              </w:rPr>
              <w:t>,</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ЈЛС</w:t>
            </w:r>
          </w:p>
        </w:tc>
      </w:tr>
      <w:tr w:rsidR="006101CE" w:rsidRPr="003B2350" w14:paraId="161E1DAB" w14:textId="77777777" w:rsidTr="006D6E1C">
        <w:tc>
          <w:tcPr>
            <w:tcW w:w="2280" w:type="dxa"/>
          </w:tcPr>
          <w:p w14:paraId="77FB5F7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018994CD" w14:textId="5CAF1255"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207FCE06" w14:textId="77777777" w:rsidTr="006D6E1C">
        <w:tc>
          <w:tcPr>
            <w:tcW w:w="2280" w:type="dxa"/>
          </w:tcPr>
          <w:p w14:paraId="1C64EE82" w14:textId="7CC0848E"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Cs/>
                <w:color w:val="000000"/>
                <w:sz w:val="24"/>
                <w:szCs w:val="24"/>
              </w:rPr>
              <w:t>е. Вредност пројекта</w:t>
            </w:r>
          </w:p>
        </w:tc>
        <w:tc>
          <w:tcPr>
            <w:tcW w:w="6963" w:type="dxa"/>
          </w:tcPr>
          <w:p w14:paraId="671EB7D8" w14:textId="4907778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900.000,00 </w:t>
            </w:r>
            <w:r w:rsidR="003B2350">
              <w:rPr>
                <w:rFonts w:ascii="Times New Roman" w:hAnsi="Times New Roman" w:cs="Times New Roman"/>
                <w:bCs/>
                <w:color w:val="000000"/>
                <w:sz w:val="24"/>
                <w:szCs w:val="24"/>
                <w:lang w:val="sr-Cyrl-RS"/>
              </w:rPr>
              <w:t>дин</w:t>
            </w:r>
          </w:p>
        </w:tc>
      </w:tr>
      <w:tr w:rsidR="006101CE" w:rsidRPr="003B2350" w14:paraId="5B80EF7C" w14:textId="77777777" w:rsidTr="006D6E1C">
        <w:tc>
          <w:tcPr>
            <w:tcW w:w="2280" w:type="dxa"/>
          </w:tcPr>
          <w:p w14:paraId="620F713A" w14:textId="109650E3"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w:t>
            </w:r>
            <w:r w:rsidR="003B2350">
              <w:rPr>
                <w:rFonts w:ascii="Times New Roman" w:hAnsi="Times New Roman" w:cs="Times New Roman"/>
                <w:b/>
                <w:bCs/>
                <w:color w:val="000000"/>
                <w:sz w:val="24"/>
                <w:szCs w:val="24"/>
                <w:lang w:val="sr-Cyrl-RS"/>
              </w:rPr>
              <w:t xml:space="preserve">. </w:t>
            </w:r>
            <w:r w:rsidRPr="003B2350">
              <w:rPr>
                <w:rFonts w:ascii="Times New Roman" w:hAnsi="Times New Roman" w:cs="Times New Roman"/>
                <w:b/>
                <w:bCs/>
                <w:color w:val="000000"/>
                <w:sz w:val="24"/>
                <w:szCs w:val="24"/>
                <w:lang w:val="sr-Cyrl-RS"/>
              </w:rPr>
              <w:t>3</w:t>
            </w:r>
          </w:p>
        </w:tc>
        <w:tc>
          <w:tcPr>
            <w:tcW w:w="6963" w:type="dxa"/>
          </w:tcPr>
          <w:p w14:paraId="0577AEFE"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78393091" w14:textId="77777777" w:rsidTr="006D6E1C">
        <w:tc>
          <w:tcPr>
            <w:tcW w:w="2280" w:type="dxa"/>
          </w:tcPr>
          <w:p w14:paraId="7C703E23"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790CB99A"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1.1. - Развој конкурентне и одрживе пољопривреде  </w:t>
            </w:r>
          </w:p>
        </w:tc>
      </w:tr>
      <w:tr w:rsidR="006101CE" w:rsidRPr="003B2350" w14:paraId="3745E099" w14:textId="77777777" w:rsidTr="006D6E1C">
        <w:tc>
          <w:tcPr>
            <w:tcW w:w="2280" w:type="dxa"/>
          </w:tcPr>
          <w:p w14:paraId="450932F8"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0CF53D85"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5A08F492" w14:textId="77777777" w:rsidTr="006D6E1C">
        <w:tc>
          <w:tcPr>
            <w:tcW w:w="2280" w:type="dxa"/>
          </w:tcPr>
          <w:p w14:paraId="18C62263"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0EC619CA" w14:textId="1D170FCE"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60D80371"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Развој еколошке пољопривреде</w:t>
            </w:r>
          </w:p>
        </w:tc>
      </w:tr>
      <w:tr w:rsidR="006101CE" w:rsidRPr="003B2350" w14:paraId="4E763304" w14:textId="77777777" w:rsidTr="006D6E1C">
        <w:tc>
          <w:tcPr>
            <w:tcW w:w="2280" w:type="dxa"/>
          </w:tcPr>
          <w:p w14:paraId="249B5BC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771DD4B6"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2021-2023</w:t>
            </w:r>
          </w:p>
        </w:tc>
      </w:tr>
      <w:tr w:rsidR="006101CE" w:rsidRPr="003B2350" w14:paraId="606D5024" w14:textId="77777777" w:rsidTr="006D6E1C">
        <w:tc>
          <w:tcPr>
            <w:tcW w:w="2280" w:type="dxa"/>
          </w:tcPr>
          <w:p w14:paraId="279005A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5B36CD42" w14:textId="134B3C3C"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Пољопривредници,</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rPr>
              <w:t>РПГ,</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rPr>
              <w:t>предузетници, становништво</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ЈЛС</w:t>
            </w:r>
          </w:p>
        </w:tc>
      </w:tr>
      <w:tr w:rsidR="006101CE" w:rsidRPr="003B2350" w14:paraId="60277A37" w14:textId="77777777" w:rsidTr="006D6E1C">
        <w:tc>
          <w:tcPr>
            <w:tcW w:w="2280" w:type="dxa"/>
          </w:tcPr>
          <w:p w14:paraId="5CA855E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40F3B304" w14:textId="48529600"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 xml:space="preserve">Донатори, </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5B01E6DC" w14:textId="77777777" w:rsidTr="006D6E1C">
        <w:tc>
          <w:tcPr>
            <w:tcW w:w="2280" w:type="dxa"/>
          </w:tcPr>
          <w:p w14:paraId="6588810C" w14:textId="7AB9C0E1"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Cs/>
                <w:color w:val="000000"/>
                <w:sz w:val="24"/>
                <w:szCs w:val="24"/>
              </w:rPr>
              <w:t>е. Вредност пројекта</w:t>
            </w:r>
            <w:r w:rsidR="003B2350">
              <w:rPr>
                <w:rFonts w:ascii="Times New Roman" w:hAnsi="Times New Roman" w:cs="Times New Roman"/>
                <w:bCs/>
                <w:color w:val="000000"/>
                <w:sz w:val="24"/>
                <w:szCs w:val="24"/>
                <w:lang w:val="sr-Cyrl-RS"/>
              </w:rPr>
              <w:t>.</w:t>
            </w:r>
          </w:p>
        </w:tc>
        <w:tc>
          <w:tcPr>
            <w:tcW w:w="6963" w:type="dxa"/>
          </w:tcPr>
          <w:p w14:paraId="40CB86DF" w14:textId="1D3413D4"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1.500.000,00 </w:t>
            </w:r>
            <w:r w:rsidR="003B2350">
              <w:rPr>
                <w:rFonts w:ascii="Times New Roman" w:hAnsi="Times New Roman" w:cs="Times New Roman"/>
                <w:bCs/>
                <w:color w:val="000000"/>
                <w:sz w:val="24"/>
                <w:szCs w:val="24"/>
                <w:lang w:val="sr-Cyrl-RS"/>
              </w:rPr>
              <w:t>дин</w:t>
            </w:r>
          </w:p>
        </w:tc>
      </w:tr>
      <w:tr w:rsidR="006101CE" w:rsidRPr="003B2350" w14:paraId="74ED297D" w14:textId="77777777" w:rsidTr="006D6E1C">
        <w:tc>
          <w:tcPr>
            <w:tcW w:w="2280" w:type="dxa"/>
          </w:tcPr>
          <w:p w14:paraId="73027B8E"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бр.4.</w:t>
            </w:r>
          </w:p>
        </w:tc>
        <w:tc>
          <w:tcPr>
            <w:tcW w:w="6963" w:type="dxa"/>
          </w:tcPr>
          <w:p w14:paraId="414AFD88"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1DEB1707" w14:textId="77777777" w:rsidTr="006D6E1C">
        <w:tc>
          <w:tcPr>
            <w:tcW w:w="2280" w:type="dxa"/>
          </w:tcPr>
          <w:p w14:paraId="495D8D81"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250A79B0"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1.1. - Развој конкурентне и одрживе пољопривреде  </w:t>
            </w:r>
          </w:p>
        </w:tc>
      </w:tr>
      <w:tr w:rsidR="006101CE" w:rsidRPr="003B2350" w14:paraId="74D64D35" w14:textId="77777777" w:rsidTr="006D6E1C">
        <w:tc>
          <w:tcPr>
            <w:tcW w:w="2280" w:type="dxa"/>
          </w:tcPr>
          <w:p w14:paraId="5EDF22F6"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314D12C8"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26831876" w14:textId="77777777" w:rsidTr="006D6E1C">
        <w:tc>
          <w:tcPr>
            <w:tcW w:w="2280" w:type="dxa"/>
          </w:tcPr>
          <w:p w14:paraId="5C5CE031"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в. Назив активности/пројекта </w:t>
            </w:r>
          </w:p>
        </w:tc>
        <w:tc>
          <w:tcPr>
            <w:tcW w:w="6963" w:type="dxa"/>
          </w:tcPr>
          <w:p w14:paraId="72118E0A"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Развој специфичних  посебних програма за младе пољопривреднике и жене на селу</w:t>
            </w:r>
          </w:p>
        </w:tc>
      </w:tr>
      <w:tr w:rsidR="006101CE" w:rsidRPr="003B2350" w14:paraId="5729A3A8" w14:textId="77777777" w:rsidTr="006D6E1C">
        <w:tc>
          <w:tcPr>
            <w:tcW w:w="2280" w:type="dxa"/>
          </w:tcPr>
          <w:p w14:paraId="0E4E200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662FE9CF" w14:textId="77777777" w:rsidR="006101CE" w:rsidRPr="003B2350" w:rsidRDefault="006101CE" w:rsidP="006101CE">
            <w:pPr>
              <w:autoSpaceDE w:val="0"/>
              <w:autoSpaceDN w:val="0"/>
              <w:adjustRightInd w:val="0"/>
              <w:rPr>
                <w:rFonts w:ascii="Times New Roman" w:hAnsi="Times New Roman" w:cs="Times New Roman"/>
                <w:color w:val="000000"/>
                <w:sz w:val="24"/>
                <w:szCs w:val="24"/>
                <w:lang w:val="sr-Cyrl-RS"/>
              </w:rPr>
            </w:pPr>
            <w:r w:rsidRPr="003B2350">
              <w:rPr>
                <w:rFonts w:ascii="Times New Roman" w:hAnsi="Times New Roman" w:cs="Times New Roman"/>
                <w:color w:val="000000"/>
                <w:sz w:val="24"/>
                <w:szCs w:val="24"/>
                <w:lang w:val="sr-Cyrl-RS"/>
              </w:rPr>
              <w:t>2020-2023</w:t>
            </w:r>
          </w:p>
        </w:tc>
      </w:tr>
      <w:tr w:rsidR="006101CE" w:rsidRPr="003B2350" w14:paraId="352ED570" w14:textId="77777777" w:rsidTr="006D6E1C">
        <w:tc>
          <w:tcPr>
            <w:tcW w:w="2280" w:type="dxa"/>
          </w:tcPr>
          <w:p w14:paraId="73784EB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69712895" w14:textId="32E9C7B9"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Пољопривредници,  млади и жене на руралном подручју, Удружења,</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Јавне установе, ЈЛС</w:t>
            </w:r>
          </w:p>
        </w:tc>
      </w:tr>
      <w:tr w:rsidR="006101CE" w:rsidRPr="003B2350" w14:paraId="62DC1E9B" w14:textId="77777777" w:rsidTr="006D6E1C">
        <w:tc>
          <w:tcPr>
            <w:tcW w:w="2280" w:type="dxa"/>
          </w:tcPr>
          <w:p w14:paraId="60BF067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1B673EAC" w14:textId="4D9FC445"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691F8E56" w14:textId="77777777" w:rsidTr="006D6E1C">
        <w:tc>
          <w:tcPr>
            <w:tcW w:w="2280" w:type="dxa"/>
          </w:tcPr>
          <w:p w14:paraId="318EFD25"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5592504D" w14:textId="518E038F"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1.700.000,00 </w:t>
            </w:r>
            <w:r w:rsidR="003B2350">
              <w:rPr>
                <w:rFonts w:ascii="Times New Roman" w:hAnsi="Times New Roman" w:cs="Times New Roman"/>
                <w:bCs/>
                <w:color w:val="000000"/>
                <w:sz w:val="24"/>
                <w:szCs w:val="24"/>
                <w:lang w:val="sr-Cyrl-RS"/>
              </w:rPr>
              <w:t>дин</w:t>
            </w:r>
          </w:p>
        </w:tc>
      </w:tr>
      <w:tr w:rsidR="006101CE" w:rsidRPr="003B2350" w14:paraId="3A3BE684" w14:textId="77777777" w:rsidTr="006D6E1C">
        <w:tc>
          <w:tcPr>
            <w:tcW w:w="2280" w:type="dxa"/>
          </w:tcPr>
          <w:p w14:paraId="7AA45673" w14:textId="2D334249"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w:t>
            </w:r>
            <w:r w:rsidR="003B2350">
              <w:rPr>
                <w:rFonts w:ascii="Times New Roman" w:hAnsi="Times New Roman" w:cs="Times New Roman"/>
                <w:b/>
                <w:bCs/>
                <w:color w:val="000000"/>
                <w:sz w:val="24"/>
                <w:szCs w:val="24"/>
                <w:lang w:val="sr-Cyrl-RS"/>
              </w:rPr>
              <w:t xml:space="preserve"> </w:t>
            </w:r>
            <w:r w:rsidRPr="003B2350">
              <w:rPr>
                <w:rFonts w:ascii="Times New Roman" w:hAnsi="Times New Roman" w:cs="Times New Roman"/>
                <w:b/>
                <w:bCs/>
                <w:color w:val="000000"/>
                <w:sz w:val="24"/>
                <w:szCs w:val="24"/>
                <w:lang w:val="sr-Cyrl-RS"/>
              </w:rPr>
              <w:t>5</w:t>
            </w:r>
          </w:p>
        </w:tc>
        <w:tc>
          <w:tcPr>
            <w:tcW w:w="6963" w:type="dxa"/>
          </w:tcPr>
          <w:p w14:paraId="0D95787C"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388FD39E" w14:textId="77777777" w:rsidTr="006D6E1C">
        <w:tc>
          <w:tcPr>
            <w:tcW w:w="2280" w:type="dxa"/>
          </w:tcPr>
          <w:p w14:paraId="27073C0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5B95DB56"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Приоритет 1.2. - Стимулисање развоја предузетништва</w:t>
            </w:r>
          </w:p>
          <w:p w14:paraId="1F0C5E71" w14:textId="77777777" w:rsidR="006101CE" w:rsidRPr="003B2350" w:rsidRDefault="006101CE" w:rsidP="006101CE">
            <w:pPr>
              <w:rPr>
                <w:rFonts w:ascii="Times New Roman" w:hAnsi="Times New Roman" w:cs="Times New Roman"/>
                <w:bCs/>
                <w:sz w:val="24"/>
                <w:szCs w:val="24"/>
                <w:lang w:val="sr-Cyrl-RS"/>
              </w:rPr>
            </w:pPr>
          </w:p>
        </w:tc>
      </w:tr>
      <w:tr w:rsidR="006101CE" w:rsidRPr="003B2350" w14:paraId="4908FC3F" w14:textId="77777777" w:rsidTr="006D6E1C">
        <w:tc>
          <w:tcPr>
            <w:tcW w:w="2280" w:type="dxa"/>
          </w:tcPr>
          <w:p w14:paraId="00B6219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6632E1B0"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5702ADA2" w14:textId="77777777" w:rsidTr="006D6E1C">
        <w:tc>
          <w:tcPr>
            <w:tcW w:w="2280" w:type="dxa"/>
          </w:tcPr>
          <w:p w14:paraId="0C46BF86"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78C1E3FC" w14:textId="2282BAD8"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4154385A" w14:textId="79CCC9F1"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Јачање предузетничких потенцијала,</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социјалног предузетништва,</w:t>
            </w:r>
            <w:r w:rsidRPr="003B2350">
              <w:rPr>
                <w:rFonts w:ascii="Times New Roman" w:eastAsiaTheme="minorHAnsi" w:hAnsi="Times New Roman" w:cs="Times New Roman"/>
                <w:sz w:val="24"/>
                <w:szCs w:val="24"/>
              </w:rPr>
              <w:t xml:space="preserve"> </w:t>
            </w:r>
            <w:r w:rsidRPr="003B2350">
              <w:rPr>
                <w:rFonts w:ascii="Times New Roman" w:eastAsiaTheme="minorHAnsi" w:hAnsi="Times New Roman" w:cs="Times New Roman"/>
                <w:sz w:val="24"/>
                <w:szCs w:val="24"/>
                <w:lang w:val="sr-Cyrl-RS"/>
              </w:rPr>
              <w:t xml:space="preserve">могућност </w:t>
            </w:r>
            <w:r w:rsidRPr="003B2350">
              <w:rPr>
                <w:rFonts w:ascii="Times New Roman" w:hAnsi="Times New Roman" w:cs="Times New Roman"/>
                <w:bCs/>
                <w:color w:val="000000"/>
                <w:sz w:val="24"/>
                <w:szCs w:val="24"/>
              </w:rPr>
              <w:t>примен</w:t>
            </w:r>
            <w:r w:rsidRPr="003B2350">
              <w:rPr>
                <w:rFonts w:ascii="Times New Roman" w:hAnsi="Times New Roman" w:cs="Times New Roman"/>
                <w:bCs/>
                <w:color w:val="000000"/>
                <w:sz w:val="24"/>
                <w:szCs w:val="24"/>
                <w:lang w:val="sr-Cyrl-RS"/>
              </w:rPr>
              <w:t>е иновација</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w:t>
            </w:r>
            <w:r w:rsidRPr="003B2350">
              <w:rPr>
                <w:rFonts w:ascii="Times New Roman" w:hAnsi="Times New Roman" w:cs="Times New Roman"/>
                <w:bCs/>
                <w:color w:val="000000"/>
                <w:sz w:val="24"/>
                <w:szCs w:val="24"/>
              </w:rPr>
              <w:t xml:space="preserve"> нових технологија</w:t>
            </w:r>
            <w:r w:rsidRPr="003B2350">
              <w:rPr>
                <w:rFonts w:ascii="Times New Roman" w:hAnsi="Times New Roman" w:cs="Times New Roman"/>
                <w:bCs/>
                <w:color w:val="000000"/>
                <w:sz w:val="24"/>
                <w:szCs w:val="24"/>
                <w:lang w:val="sr-Cyrl-RS"/>
              </w:rPr>
              <w:t>,</w:t>
            </w:r>
            <w:r w:rsidRPr="003B2350">
              <w:rPr>
                <w:rFonts w:ascii="Times New Roman" w:eastAsiaTheme="minorHAnsi" w:hAnsi="Times New Roman" w:cs="Times New Roman"/>
                <w:sz w:val="24"/>
                <w:szCs w:val="24"/>
              </w:rPr>
              <w:t xml:space="preserve"> </w:t>
            </w:r>
            <w:r w:rsidRPr="003B2350">
              <w:rPr>
                <w:rFonts w:ascii="Times New Roman" w:hAnsi="Times New Roman" w:cs="Times New Roman"/>
                <w:bCs/>
                <w:color w:val="000000"/>
                <w:sz w:val="24"/>
                <w:szCs w:val="24"/>
              </w:rPr>
              <w:t>увођење сертификата, усаглашеност са стандардима и директивама</w:t>
            </w:r>
          </w:p>
        </w:tc>
      </w:tr>
      <w:tr w:rsidR="006101CE" w:rsidRPr="003B2350" w14:paraId="40ECE9D8" w14:textId="77777777" w:rsidTr="006D6E1C">
        <w:tc>
          <w:tcPr>
            <w:tcW w:w="2280" w:type="dxa"/>
          </w:tcPr>
          <w:p w14:paraId="1CCC10F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5BB4C4C0" w14:textId="77777777" w:rsidR="006101CE" w:rsidRPr="003B2350" w:rsidRDefault="006101CE" w:rsidP="006101CE">
            <w:pPr>
              <w:autoSpaceDE w:val="0"/>
              <w:autoSpaceDN w:val="0"/>
              <w:adjustRightInd w:val="0"/>
              <w:rPr>
                <w:rFonts w:ascii="Times New Roman" w:hAnsi="Times New Roman" w:cs="Times New Roman"/>
                <w:color w:val="000000"/>
                <w:sz w:val="24"/>
                <w:szCs w:val="24"/>
                <w:lang w:val="sr-Cyrl-RS"/>
              </w:rPr>
            </w:pPr>
            <w:r w:rsidRPr="003B2350">
              <w:rPr>
                <w:rFonts w:ascii="Times New Roman" w:hAnsi="Times New Roman" w:cs="Times New Roman"/>
                <w:color w:val="000000"/>
                <w:sz w:val="24"/>
                <w:szCs w:val="24"/>
                <w:lang w:val="sr-Cyrl-RS"/>
              </w:rPr>
              <w:t>2022-2023</w:t>
            </w:r>
          </w:p>
        </w:tc>
      </w:tr>
      <w:tr w:rsidR="006101CE" w:rsidRPr="003B2350" w14:paraId="6D1961C5" w14:textId="77777777" w:rsidTr="006D6E1C">
        <w:tc>
          <w:tcPr>
            <w:tcW w:w="2280" w:type="dxa"/>
          </w:tcPr>
          <w:p w14:paraId="5BD3D31E"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685702F5" w14:textId="52B7F68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Привредници, предузетници, Задруге,</w:t>
            </w:r>
            <w:r w:rsidR="003B2350">
              <w:rPr>
                <w:rFonts w:ascii="Times New Roman" w:hAnsi="Times New Roman" w:cs="Times New Roman"/>
                <w:bCs/>
                <w:color w:val="000000"/>
                <w:sz w:val="24"/>
                <w:szCs w:val="24"/>
                <w:lang w:val="sr-Cyrl-RS"/>
              </w:rPr>
              <w:t xml:space="preserve"> п</w:t>
            </w:r>
            <w:r w:rsidRPr="003B2350">
              <w:rPr>
                <w:rFonts w:ascii="Times New Roman" w:hAnsi="Times New Roman" w:cs="Times New Roman"/>
                <w:bCs/>
                <w:color w:val="000000"/>
                <w:sz w:val="24"/>
                <w:szCs w:val="24"/>
                <w:lang w:val="sr-Cyrl-RS"/>
              </w:rPr>
              <w:t>ољопривредници</w:t>
            </w:r>
            <w:r w:rsidR="003B2350">
              <w:rPr>
                <w:rFonts w:ascii="Times New Roman" w:hAnsi="Times New Roman" w:cs="Times New Roman"/>
                <w:bCs/>
                <w:color w:val="000000"/>
                <w:sz w:val="24"/>
                <w:szCs w:val="24"/>
                <w:lang w:val="sr-Cyrl-RS"/>
              </w:rPr>
              <w:t>,</w:t>
            </w:r>
            <w:r w:rsidRPr="003B2350">
              <w:rPr>
                <w:rFonts w:ascii="Times New Roman" w:hAnsi="Times New Roman" w:cs="Times New Roman"/>
                <w:bCs/>
                <w:color w:val="000000"/>
                <w:sz w:val="24"/>
                <w:szCs w:val="24"/>
                <w:lang w:val="sr-Cyrl-RS"/>
              </w:rPr>
              <w:t xml:space="preserve"> </w:t>
            </w:r>
            <w:r w:rsidR="003B2350">
              <w:rPr>
                <w:rFonts w:ascii="Times New Roman" w:hAnsi="Times New Roman" w:cs="Times New Roman"/>
                <w:bCs/>
                <w:color w:val="000000"/>
                <w:sz w:val="24"/>
                <w:szCs w:val="24"/>
                <w:lang w:val="sr-Cyrl-RS"/>
              </w:rPr>
              <w:t>п</w:t>
            </w:r>
            <w:r w:rsidRPr="003B2350">
              <w:rPr>
                <w:rFonts w:ascii="Times New Roman" w:hAnsi="Times New Roman" w:cs="Times New Roman"/>
                <w:bCs/>
                <w:color w:val="000000"/>
                <w:sz w:val="24"/>
                <w:szCs w:val="24"/>
                <w:lang w:val="sr-Cyrl-RS"/>
              </w:rPr>
              <w:t xml:space="preserve">роизвођачка </w:t>
            </w:r>
            <w:r w:rsidR="003B2350">
              <w:rPr>
                <w:rFonts w:ascii="Times New Roman" w:hAnsi="Times New Roman" w:cs="Times New Roman"/>
                <w:bCs/>
                <w:color w:val="000000"/>
                <w:sz w:val="24"/>
                <w:szCs w:val="24"/>
                <w:lang w:val="sr-Cyrl-RS"/>
              </w:rPr>
              <w:t>у</w:t>
            </w:r>
            <w:r w:rsidRPr="003B2350">
              <w:rPr>
                <w:rFonts w:ascii="Times New Roman" w:hAnsi="Times New Roman" w:cs="Times New Roman"/>
                <w:bCs/>
                <w:color w:val="000000"/>
                <w:sz w:val="24"/>
                <w:szCs w:val="24"/>
                <w:lang w:val="sr-Cyrl-RS"/>
              </w:rPr>
              <w:t xml:space="preserve">дружења, </w:t>
            </w:r>
            <w:r w:rsidR="003B2350">
              <w:rPr>
                <w:rFonts w:ascii="Times New Roman" w:hAnsi="Times New Roman" w:cs="Times New Roman"/>
                <w:bCs/>
                <w:color w:val="000000"/>
                <w:sz w:val="24"/>
                <w:szCs w:val="24"/>
                <w:lang w:val="sr-Cyrl-RS"/>
              </w:rPr>
              <w:t>ј</w:t>
            </w:r>
            <w:r w:rsidRPr="003B2350">
              <w:rPr>
                <w:rFonts w:ascii="Times New Roman" w:hAnsi="Times New Roman" w:cs="Times New Roman"/>
                <w:bCs/>
                <w:color w:val="000000"/>
                <w:sz w:val="24"/>
                <w:szCs w:val="24"/>
                <w:lang w:val="sr-Cyrl-RS"/>
              </w:rPr>
              <w:t>авне установе, ЈЛС</w:t>
            </w:r>
          </w:p>
        </w:tc>
      </w:tr>
      <w:tr w:rsidR="006101CE" w:rsidRPr="003B2350" w14:paraId="7B644FDD" w14:textId="77777777" w:rsidTr="006D6E1C">
        <w:tc>
          <w:tcPr>
            <w:tcW w:w="2280" w:type="dxa"/>
          </w:tcPr>
          <w:p w14:paraId="01C8AA9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0A445B04" w14:textId="767968C4"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31CD6197" w14:textId="77777777" w:rsidTr="006D6E1C">
        <w:tc>
          <w:tcPr>
            <w:tcW w:w="2280" w:type="dxa"/>
          </w:tcPr>
          <w:p w14:paraId="5258D6F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353AF4C8" w14:textId="2368DE6F"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1.800.000,00 </w:t>
            </w:r>
            <w:r w:rsidR="003B2350">
              <w:rPr>
                <w:rFonts w:ascii="Times New Roman" w:hAnsi="Times New Roman" w:cs="Times New Roman"/>
                <w:bCs/>
                <w:color w:val="000000"/>
                <w:sz w:val="24"/>
                <w:szCs w:val="24"/>
                <w:lang w:val="sr-Cyrl-RS"/>
              </w:rPr>
              <w:t>дин</w:t>
            </w:r>
          </w:p>
        </w:tc>
      </w:tr>
      <w:tr w:rsidR="006101CE" w:rsidRPr="003B2350" w14:paraId="5A455B82" w14:textId="77777777" w:rsidTr="006D6E1C">
        <w:tc>
          <w:tcPr>
            <w:tcW w:w="2280" w:type="dxa"/>
          </w:tcPr>
          <w:p w14:paraId="2F25BBE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бр.6</w:t>
            </w:r>
          </w:p>
        </w:tc>
        <w:tc>
          <w:tcPr>
            <w:tcW w:w="6963" w:type="dxa"/>
          </w:tcPr>
          <w:p w14:paraId="55A5F218"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1FC6A148" w14:textId="77777777" w:rsidTr="006D6E1C">
        <w:tc>
          <w:tcPr>
            <w:tcW w:w="2280" w:type="dxa"/>
          </w:tcPr>
          <w:p w14:paraId="31D46D6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3D7701AF"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Приоритет 1.2. - Стимулисање развоја предузетништва</w:t>
            </w:r>
          </w:p>
          <w:p w14:paraId="19885F8F" w14:textId="77777777" w:rsidR="006101CE" w:rsidRPr="003B2350" w:rsidRDefault="006101CE" w:rsidP="006101CE">
            <w:pPr>
              <w:rPr>
                <w:rFonts w:ascii="Times New Roman" w:hAnsi="Times New Roman" w:cs="Times New Roman"/>
                <w:bCs/>
                <w:sz w:val="24"/>
                <w:szCs w:val="24"/>
                <w:lang w:val="sr-Cyrl-RS"/>
              </w:rPr>
            </w:pPr>
          </w:p>
        </w:tc>
      </w:tr>
      <w:tr w:rsidR="006101CE" w:rsidRPr="003B2350" w14:paraId="3CD57137" w14:textId="77777777" w:rsidTr="006D6E1C">
        <w:tc>
          <w:tcPr>
            <w:tcW w:w="2280" w:type="dxa"/>
          </w:tcPr>
          <w:p w14:paraId="222600B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26F5C00D"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430B2067" w14:textId="77777777" w:rsidTr="006D6E1C">
        <w:tc>
          <w:tcPr>
            <w:tcW w:w="2280" w:type="dxa"/>
          </w:tcPr>
          <w:p w14:paraId="63651130" w14:textId="69150AA3" w:rsidR="006101CE" w:rsidRPr="003B2350" w:rsidRDefault="006101CE" w:rsidP="003B2350">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в. Назив активности/пројекта </w:t>
            </w:r>
          </w:p>
        </w:tc>
        <w:tc>
          <w:tcPr>
            <w:tcW w:w="6963" w:type="dxa"/>
          </w:tcPr>
          <w:p w14:paraId="37513FD8" w14:textId="77777777"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Развој пословне инфраструктуре „Производно-едукативни центар за развој и промоцију подручја ЛАГ“</w:t>
            </w:r>
          </w:p>
        </w:tc>
      </w:tr>
      <w:tr w:rsidR="006101CE" w:rsidRPr="003B2350" w14:paraId="691CC9EE" w14:textId="77777777" w:rsidTr="006D6E1C">
        <w:tc>
          <w:tcPr>
            <w:tcW w:w="2280" w:type="dxa"/>
          </w:tcPr>
          <w:p w14:paraId="1CE6EE9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625B7177"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2021-2023</w:t>
            </w:r>
          </w:p>
        </w:tc>
      </w:tr>
      <w:tr w:rsidR="006101CE" w:rsidRPr="003B2350" w14:paraId="13A6ED77" w14:textId="77777777" w:rsidTr="006D6E1C">
        <w:tc>
          <w:tcPr>
            <w:tcW w:w="2280" w:type="dxa"/>
          </w:tcPr>
          <w:p w14:paraId="107B984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708E06C7" w14:textId="67823CAA"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Пољопривредници, </w:t>
            </w:r>
            <w:r w:rsidR="003B2350">
              <w:rPr>
                <w:rFonts w:ascii="Times New Roman" w:hAnsi="Times New Roman" w:cs="Times New Roman"/>
                <w:bCs/>
                <w:color w:val="000000"/>
                <w:sz w:val="24"/>
                <w:szCs w:val="24"/>
                <w:lang w:val="sr-Cyrl-RS"/>
              </w:rPr>
              <w:t>у</w:t>
            </w:r>
            <w:r w:rsidRPr="003B2350">
              <w:rPr>
                <w:rFonts w:ascii="Times New Roman" w:hAnsi="Times New Roman" w:cs="Times New Roman"/>
                <w:bCs/>
                <w:color w:val="000000"/>
                <w:sz w:val="24"/>
                <w:szCs w:val="24"/>
                <w:lang w:val="sr-Cyrl-RS"/>
              </w:rPr>
              <w:t>дружења,</w:t>
            </w:r>
            <w:r w:rsidR="003B2350">
              <w:rPr>
                <w:rFonts w:ascii="Times New Roman" w:hAnsi="Times New Roman" w:cs="Times New Roman"/>
                <w:bCs/>
                <w:color w:val="000000"/>
                <w:sz w:val="24"/>
                <w:szCs w:val="24"/>
                <w:lang w:val="sr-Cyrl-RS"/>
              </w:rPr>
              <w:t xml:space="preserve"> п</w:t>
            </w:r>
            <w:r w:rsidRPr="003B2350">
              <w:rPr>
                <w:rFonts w:ascii="Times New Roman" w:hAnsi="Times New Roman" w:cs="Times New Roman"/>
                <w:bCs/>
                <w:color w:val="000000"/>
                <w:sz w:val="24"/>
                <w:szCs w:val="24"/>
                <w:lang w:val="sr-Cyrl-RS"/>
              </w:rPr>
              <w:t>редузетници, млади и жене на селу</w:t>
            </w:r>
            <w:r w:rsidR="003B2350">
              <w:rPr>
                <w:rFonts w:ascii="Times New Roman" w:hAnsi="Times New Roman" w:cs="Times New Roman"/>
                <w:bCs/>
                <w:color w:val="000000"/>
                <w:sz w:val="24"/>
                <w:szCs w:val="24"/>
                <w:lang w:val="sr-Cyrl-RS"/>
              </w:rPr>
              <w:t>,</w:t>
            </w:r>
            <w:r w:rsidRPr="003B2350">
              <w:rPr>
                <w:rFonts w:ascii="Times New Roman" w:hAnsi="Times New Roman" w:cs="Times New Roman"/>
                <w:bCs/>
                <w:color w:val="000000"/>
                <w:sz w:val="24"/>
                <w:szCs w:val="24"/>
                <w:lang w:val="sr-Cyrl-RS"/>
              </w:rPr>
              <w:t xml:space="preserve"> ЈЛС</w:t>
            </w:r>
          </w:p>
        </w:tc>
      </w:tr>
      <w:tr w:rsidR="006101CE" w:rsidRPr="003B2350" w14:paraId="360F4C78" w14:textId="77777777" w:rsidTr="006D6E1C">
        <w:tc>
          <w:tcPr>
            <w:tcW w:w="2280" w:type="dxa"/>
          </w:tcPr>
          <w:p w14:paraId="05F0BABC"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7F38833A"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559A4A36" w14:textId="77777777" w:rsidTr="006D6E1C">
        <w:tc>
          <w:tcPr>
            <w:tcW w:w="2280" w:type="dxa"/>
          </w:tcPr>
          <w:p w14:paraId="03F56FF0"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79D40394" w14:textId="78DD9942"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sz w:val="24"/>
                <w:szCs w:val="24"/>
                <w:lang w:val="sr-Cyrl-RS"/>
              </w:rPr>
              <w:t xml:space="preserve">5.000.000,00 </w:t>
            </w:r>
            <w:r w:rsidR="003B2350">
              <w:rPr>
                <w:rFonts w:ascii="Times New Roman" w:hAnsi="Times New Roman" w:cs="Times New Roman"/>
                <w:bCs/>
                <w:sz w:val="24"/>
                <w:szCs w:val="24"/>
                <w:lang w:val="sr-Cyrl-RS"/>
              </w:rPr>
              <w:t>дин</w:t>
            </w:r>
          </w:p>
        </w:tc>
      </w:tr>
      <w:tr w:rsidR="006101CE" w:rsidRPr="003B2350" w14:paraId="559EAC87" w14:textId="77777777" w:rsidTr="006D6E1C">
        <w:tc>
          <w:tcPr>
            <w:tcW w:w="2280" w:type="dxa"/>
          </w:tcPr>
          <w:p w14:paraId="1B1DE6C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бр.7.</w:t>
            </w:r>
          </w:p>
        </w:tc>
        <w:tc>
          <w:tcPr>
            <w:tcW w:w="6963" w:type="dxa"/>
          </w:tcPr>
          <w:p w14:paraId="652B9FCF"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303E6686" w14:textId="77777777" w:rsidTr="006D6E1C">
        <w:tc>
          <w:tcPr>
            <w:tcW w:w="2280" w:type="dxa"/>
          </w:tcPr>
          <w:p w14:paraId="434D9933"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12FB116C" w14:textId="777777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Приоритет 1.3. - Одрживи развој руралног туризма утемељеног на очуваној природној и културној баштини</w:t>
            </w:r>
          </w:p>
          <w:p w14:paraId="44D8122F" w14:textId="77777777" w:rsidR="006101CE" w:rsidRPr="003B2350" w:rsidRDefault="006101CE" w:rsidP="006101CE">
            <w:pPr>
              <w:rPr>
                <w:rFonts w:ascii="Times New Roman" w:hAnsi="Times New Roman" w:cs="Times New Roman"/>
                <w:bCs/>
                <w:sz w:val="24"/>
                <w:szCs w:val="24"/>
                <w:lang w:val="sr-Cyrl-RS"/>
              </w:rPr>
            </w:pPr>
          </w:p>
        </w:tc>
      </w:tr>
      <w:tr w:rsidR="006101CE" w:rsidRPr="003B2350" w14:paraId="7F871F75" w14:textId="77777777" w:rsidTr="006D6E1C">
        <w:tc>
          <w:tcPr>
            <w:tcW w:w="2280" w:type="dxa"/>
          </w:tcPr>
          <w:p w14:paraId="64EFE72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628410D8" w14:textId="77777777" w:rsidR="006101CE" w:rsidRPr="003B2350" w:rsidRDefault="006101CE" w:rsidP="006101CE">
            <w:pPr>
              <w:rPr>
                <w:rFonts w:ascii="Times New Roman" w:hAnsi="Times New Roman" w:cs="Times New Roman"/>
                <w:bCs/>
                <w:sz w:val="24"/>
                <w:szCs w:val="24"/>
              </w:rPr>
            </w:pPr>
            <w:r w:rsidRPr="003B2350">
              <w:rPr>
                <w:rFonts w:ascii="Times New Roman" w:hAnsi="Times New Roman" w:cs="Times New Roman"/>
                <w:sz w:val="24"/>
                <w:szCs w:val="24"/>
              </w:rPr>
              <w:t>Циљ 1 - Подизање капацитета привреде и јачање конкурентног пословног окружења</w:t>
            </w:r>
          </w:p>
        </w:tc>
      </w:tr>
      <w:tr w:rsidR="006101CE" w:rsidRPr="003B2350" w14:paraId="5A8ACBBE" w14:textId="77777777" w:rsidTr="006D6E1C">
        <w:tc>
          <w:tcPr>
            <w:tcW w:w="2280" w:type="dxa"/>
          </w:tcPr>
          <w:p w14:paraId="7DB33C86"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7DCEC868" w14:textId="684D6F49"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00EB3632" w14:textId="6025EE4B"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дентифик</w:t>
            </w:r>
            <w:r w:rsidRPr="003B2350">
              <w:rPr>
                <w:rFonts w:ascii="Times New Roman" w:hAnsi="Times New Roman" w:cs="Times New Roman"/>
                <w:bCs/>
                <w:color w:val="000000"/>
                <w:sz w:val="24"/>
                <w:szCs w:val="24"/>
                <w:lang w:val="sr-Cyrl-RS"/>
              </w:rPr>
              <w:t>ација</w:t>
            </w:r>
            <w:r w:rsidRPr="003B2350">
              <w:rPr>
                <w:rFonts w:ascii="Times New Roman" w:hAnsi="Times New Roman" w:cs="Times New Roman"/>
                <w:bCs/>
                <w:color w:val="000000"/>
                <w:sz w:val="24"/>
                <w:szCs w:val="24"/>
              </w:rPr>
              <w:t xml:space="preserve"> услов</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и инструмен</w:t>
            </w:r>
            <w:r w:rsidRPr="003B2350">
              <w:rPr>
                <w:rFonts w:ascii="Times New Roman" w:hAnsi="Times New Roman" w:cs="Times New Roman"/>
                <w:bCs/>
                <w:color w:val="000000"/>
                <w:sz w:val="24"/>
                <w:szCs w:val="24"/>
                <w:lang w:val="sr-Cyrl-RS"/>
              </w:rPr>
              <w:t>ата</w:t>
            </w:r>
            <w:r w:rsidRPr="003B2350">
              <w:rPr>
                <w:rFonts w:ascii="Times New Roman" w:hAnsi="Times New Roman" w:cs="Times New Roman"/>
                <w:bCs/>
                <w:color w:val="000000"/>
                <w:sz w:val="24"/>
                <w:szCs w:val="24"/>
              </w:rPr>
              <w:t xml:space="preserve"> за дугорочно одрживи туризам у  подручју, подст</w:t>
            </w:r>
            <w:r w:rsidRPr="003B2350">
              <w:rPr>
                <w:rFonts w:ascii="Times New Roman" w:hAnsi="Times New Roman" w:cs="Times New Roman"/>
                <w:bCs/>
                <w:color w:val="000000"/>
                <w:sz w:val="24"/>
                <w:szCs w:val="24"/>
                <w:lang w:val="sr-Cyrl-RS"/>
              </w:rPr>
              <w:t>ицај</w:t>
            </w:r>
            <w:r w:rsidRPr="003B2350">
              <w:rPr>
                <w:rFonts w:ascii="Times New Roman" w:hAnsi="Times New Roman" w:cs="Times New Roman"/>
                <w:bCs/>
                <w:color w:val="000000"/>
                <w:sz w:val="24"/>
                <w:szCs w:val="24"/>
              </w:rPr>
              <w:t xml:space="preserve"> иницијатив</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за одрживо управљање туристичким ресурсима</w:t>
            </w:r>
            <w:r w:rsidRPr="003B2350">
              <w:rPr>
                <w:rFonts w:ascii="Times New Roman" w:hAnsi="Times New Roman" w:cs="Times New Roman"/>
                <w:bCs/>
                <w:color w:val="000000"/>
                <w:sz w:val="24"/>
                <w:szCs w:val="24"/>
                <w:lang w:val="sr-Cyrl-RS"/>
              </w:rPr>
              <w:t>,</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осмишљавање и развој заједничке туристичке понуде и промоција подручја.</w:t>
            </w:r>
          </w:p>
        </w:tc>
      </w:tr>
      <w:tr w:rsidR="006101CE" w:rsidRPr="003B2350" w14:paraId="377EEB79" w14:textId="77777777" w:rsidTr="006D6E1C">
        <w:tc>
          <w:tcPr>
            <w:tcW w:w="2280" w:type="dxa"/>
          </w:tcPr>
          <w:p w14:paraId="19B71EFB"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212C31CB"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2022-2023</w:t>
            </w:r>
          </w:p>
        </w:tc>
      </w:tr>
      <w:tr w:rsidR="006101CE" w:rsidRPr="003B2350" w14:paraId="52343EAF" w14:textId="77777777" w:rsidTr="006D6E1C">
        <w:tc>
          <w:tcPr>
            <w:tcW w:w="2280" w:type="dxa"/>
          </w:tcPr>
          <w:p w14:paraId="1B1C59AD"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29A8F7B9" w14:textId="430B0CA9"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Туристи, становништво, </w:t>
            </w:r>
            <w:r w:rsidR="003B2350">
              <w:rPr>
                <w:rFonts w:ascii="Times New Roman" w:hAnsi="Times New Roman" w:cs="Times New Roman"/>
                <w:bCs/>
                <w:color w:val="000000"/>
                <w:sz w:val="24"/>
                <w:szCs w:val="24"/>
                <w:lang w:val="sr-Cyrl-RS"/>
              </w:rPr>
              <w:t>ЛАГ</w:t>
            </w:r>
            <w:r w:rsidRPr="003B2350">
              <w:rPr>
                <w:rFonts w:ascii="Times New Roman" w:hAnsi="Times New Roman" w:cs="Times New Roman"/>
                <w:bCs/>
                <w:color w:val="000000"/>
                <w:sz w:val="24"/>
                <w:szCs w:val="24"/>
                <w:lang w:val="sr-Cyrl-RS"/>
              </w:rPr>
              <w:t>, предузетници, ЈЛС</w:t>
            </w:r>
          </w:p>
        </w:tc>
      </w:tr>
      <w:tr w:rsidR="006101CE" w:rsidRPr="003B2350" w14:paraId="0DF3E845" w14:textId="77777777" w:rsidTr="006D6E1C">
        <w:tc>
          <w:tcPr>
            <w:tcW w:w="2280" w:type="dxa"/>
          </w:tcPr>
          <w:p w14:paraId="3955AE8B"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2715E4B6" w14:textId="63F67FC6"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003B2350">
              <w:rPr>
                <w:rFonts w:ascii="Times New Roman" w:hAnsi="Times New Roman" w:cs="Times New Roman"/>
                <w:bCs/>
                <w:color w:val="000000"/>
                <w:sz w:val="24"/>
                <w:szCs w:val="24"/>
                <w:lang w:val="sr-Cyrl-RS"/>
              </w:rPr>
              <w:t>д</w:t>
            </w:r>
            <w:r w:rsidRPr="003B2350">
              <w:rPr>
                <w:rFonts w:ascii="Times New Roman" w:hAnsi="Times New Roman" w:cs="Times New Roman"/>
                <w:bCs/>
                <w:color w:val="000000"/>
                <w:sz w:val="24"/>
                <w:szCs w:val="24"/>
                <w:lang w:val="sr-Cyrl-RS"/>
              </w:rPr>
              <w:t>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3EF687C1" w14:textId="77777777" w:rsidTr="006D6E1C">
        <w:tc>
          <w:tcPr>
            <w:tcW w:w="2280" w:type="dxa"/>
          </w:tcPr>
          <w:p w14:paraId="612263D9"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7F5D724A" w14:textId="16D3C71D"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1.300.000,00 </w:t>
            </w:r>
            <w:r w:rsidR="00F81019">
              <w:rPr>
                <w:rFonts w:ascii="Times New Roman" w:hAnsi="Times New Roman" w:cs="Times New Roman"/>
                <w:bCs/>
                <w:color w:val="000000"/>
                <w:sz w:val="24"/>
                <w:szCs w:val="24"/>
                <w:lang w:val="sr-Cyrl-RS"/>
              </w:rPr>
              <w:t>дин</w:t>
            </w:r>
          </w:p>
        </w:tc>
      </w:tr>
      <w:tr w:rsidR="006101CE" w:rsidRPr="003B2350" w14:paraId="3880D314" w14:textId="77777777" w:rsidTr="006D6E1C">
        <w:tc>
          <w:tcPr>
            <w:tcW w:w="2280" w:type="dxa"/>
          </w:tcPr>
          <w:p w14:paraId="12C2CF28"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бр.8.</w:t>
            </w:r>
          </w:p>
        </w:tc>
        <w:tc>
          <w:tcPr>
            <w:tcW w:w="6963" w:type="dxa"/>
          </w:tcPr>
          <w:p w14:paraId="5691F56A"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3F71AC5E" w14:textId="77777777" w:rsidTr="006D6E1C">
        <w:tc>
          <w:tcPr>
            <w:tcW w:w="2280" w:type="dxa"/>
          </w:tcPr>
          <w:p w14:paraId="412E6B80"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7D6C5123" w14:textId="32901DC5"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rPr>
              <w:t>П</w:t>
            </w:r>
            <w:r w:rsidRPr="003B2350">
              <w:rPr>
                <w:rFonts w:ascii="Times New Roman" w:hAnsi="Times New Roman" w:cs="Times New Roman"/>
                <w:bCs/>
                <w:sz w:val="24"/>
                <w:szCs w:val="24"/>
                <w:lang w:val="sr-Cyrl-RS"/>
              </w:rPr>
              <w:t>риоритет 2.</w:t>
            </w:r>
            <w:r w:rsidRPr="003B2350">
              <w:rPr>
                <w:rFonts w:ascii="Times New Roman" w:hAnsi="Times New Roman" w:cs="Times New Roman"/>
                <w:bCs/>
                <w:sz w:val="24"/>
                <w:szCs w:val="24"/>
              </w:rPr>
              <w:t>1</w:t>
            </w:r>
            <w:r w:rsidRPr="003B2350">
              <w:rPr>
                <w:rFonts w:ascii="Times New Roman" w:hAnsi="Times New Roman" w:cs="Times New Roman"/>
                <w:bCs/>
                <w:sz w:val="24"/>
                <w:szCs w:val="24"/>
                <w:lang w:val="sr-Cyrl-RS"/>
              </w:rPr>
              <w:t>.</w:t>
            </w:r>
            <w:r w:rsidR="003B2350">
              <w:rPr>
                <w:rFonts w:ascii="Times New Roman" w:hAnsi="Times New Roman" w:cs="Times New Roman"/>
                <w:bCs/>
                <w:sz w:val="24"/>
                <w:szCs w:val="24"/>
                <w:lang w:val="sr-Cyrl-RS"/>
              </w:rPr>
              <w:t xml:space="preserve"> </w:t>
            </w:r>
            <w:r w:rsidRPr="003B2350">
              <w:rPr>
                <w:rFonts w:ascii="Times New Roman" w:hAnsi="Times New Roman" w:cs="Times New Roman"/>
                <w:bCs/>
                <w:sz w:val="24"/>
                <w:szCs w:val="24"/>
                <w:lang w:val="sr-Cyrl-RS"/>
              </w:rPr>
              <w:t xml:space="preserve">- </w:t>
            </w:r>
            <w:r w:rsidRPr="003B2350">
              <w:rPr>
                <w:rFonts w:ascii="Times New Roman" w:hAnsi="Times New Roman" w:cs="Times New Roman"/>
                <w:bCs/>
                <w:sz w:val="24"/>
                <w:szCs w:val="24"/>
              </w:rPr>
              <w:t xml:space="preserve"> Развој</w:t>
            </w:r>
            <w:r w:rsidR="003B2350">
              <w:rPr>
                <w:rFonts w:ascii="Times New Roman" w:hAnsi="Times New Roman" w:cs="Times New Roman"/>
                <w:bCs/>
                <w:sz w:val="24"/>
                <w:szCs w:val="24"/>
                <w:lang w:val="sr-Cyrl-RS"/>
              </w:rPr>
              <w:t xml:space="preserve"> </w:t>
            </w:r>
            <w:r w:rsidRPr="003B2350">
              <w:rPr>
                <w:rFonts w:ascii="Times New Roman" w:hAnsi="Times New Roman" w:cs="Times New Roman"/>
                <w:bCs/>
                <w:sz w:val="24"/>
                <w:szCs w:val="24"/>
              </w:rPr>
              <w:t>и побољшање инфраструктуре у руралним областима</w:t>
            </w:r>
          </w:p>
        </w:tc>
      </w:tr>
      <w:tr w:rsidR="006101CE" w:rsidRPr="003B2350" w14:paraId="4E3E92F9" w14:textId="77777777" w:rsidTr="006D6E1C">
        <w:tc>
          <w:tcPr>
            <w:tcW w:w="2280" w:type="dxa"/>
          </w:tcPr>
          <w:p w14:paraId="06EE6759"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1A767A4D" w14:textId="5DD2D1DA"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ЦИЉ 2 - Побољшање квалитета живота и подстицај непољопривредних делатности</w:t>
            </w:r>
          </w:p>
        </w:tc>
      </w:tr>
      <w:tr w:rsidR="006101CE" w:rsidRPr="003B2350" w14:paraId="2F778519" w14:textId="77777777" w:rsidTr="006D6E1C">
        <w:tc>
          <w:tcPr>
            <w:tcW w:w="2280" w:type="dxa"/>
          </w:tcPr>
          <w:p w14:paraId="7DDAB898" w14:textId="77777777" w:rsid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51993160" w14:textId="7ACF4D70"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пројекта</w:t>
            </w:r>
          </w:p>
        </w:tc>
        <w:tc>
          <w:tcPr>
            <w:tcW w:w="6963" w:type="dxa"/>
          </w:tcPr>
          <w:p w14:paraId="7D07FE52"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Развој и унапређење</w:t>
            </w:r>
            <w:r w:rsidRPr="003B2350">
              <w:rPr>
                <w:rFonts w:ascii="Times New Roman" w:hAnsi="Times New Roman" w:cs="Times New Roman"/>
                <w:bCs/>
                <w:color w:val="000000"/>
                <w:sz w:val="24"/>
                <w:szCs w:val="24"/>
                <w:lang w:val="sr-Cyrl-RS"/>
              </w:rPr>
              <w:t>,</w:t>
            </w:r>
            <w:r w:rsidRPr="003B2350">
              <w:rPr>
                <w:rFonts w:ascii="Times New Roman" w:hAnsi="Times New Roman" w:cs="Times New Roman"/>
                <w:bCs/>
                <w:color w:val="000000"/>
                <w:sz w:val="24"/>
                <w:szCs w:val="24"/>
              </w:rPr>
              <w:t xml:space="preserve"> друштвене инфраструктуре</w:t>
            </w:r>
            <w:r w:rsidRPr="003B2350">
              <w:rPr>
                <w:rFonts w:ascii="Times New Roman" w:hAnsi="Times New Roman" w:cs="Times New Roman"/>
                <w:bCs/>
                <w:color w:val="000000"/>
                <w:sz w:val="24"/>
                <w:szCs w:val="24"/>
                <w:lang w:val="sr-Cyrl-RS"/>
              </w:rPr>
              <w:t>,</w:t>
            </w:r>
          </w:p>
          <w:p w14:paraId="490A6954" w14:textId="5ABFB264" w:rsidR="006101CE" w:rsidRPr="003B2350"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lang w:val="sr-Cyrl-RS"/>
              </w:rPr>
              <w:t>п</w:t>
            </w:r>
            <w:r w:rsidRPr="003B2350">
              <w:rPr>
                <w:rFonts w:ascii="Times New Roman" w:hAnsi="Times New Roman" w:cs="Times New Roman"/>
                <w:bCs/>
                <w:color w:val="000000"/>
                <w:sz w:val="24"/>
                <w:szCs w:val="24"/>
              </w:rPr>
              <w:t>одстицај и развој непољопривредних делатности уруралним заједницама</w:t>
            </w:r>
          </w:p>
        </w:tc>
      </w:tr>
      <w:tr w:rsidR="006101CE" w:rsidRPr="003B2350" w14:paraId="42834261" w14:textId="77777777" w:rsidTr="006D6E1C">
        <w:tc>
          <w:tcPr>
            <w:tcW w:w="2280" w:type="dxa"/>
          </w:tcPr>
          <w:p w14:paraId="1739D1CC"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20323E0D" w14:textId="77777777" w:rsidR="006101CE" w:rsidRPr="003B2350" w:rsidRDefault="006101CE" w:rsidP="006101CE">
            <w:pPr>
              <w:autoSpaceDE w:val="0"/>
              <w:autoSpaceDN w:val="0"/>
              <w:adjustRightInd w:val="0"/>
              <w:rPr>
                <w:rFonts w:ascii="Times New Roman" w:hAnsi="Times New Roman" w:cs="Times New Roman"/>
                <w:color w:val="000000"/>
                <w:sz w:val="24"/>
                <w:szCs w:val="24"/>
                <w:lang w:val="sr-Cyrl-RS"/>
              </w:rPr>
            </w:pPr>
            <w:r w:rsidRPr="003B2350">
              <w:rPr>
                <w:rFonts w:ascii="Times New Roman" w:hAnsi="Times New Roman" w:cs="Times New Roman"/>
                <w:color w:val="000000"/>
                <w:sz w:val="24"/>
                <w:szCs w:val="24"/>
                <w:lang w:val="sr-Cyrl-RS"/>
              </w:rPr>
              <w:t>2020-2023</w:t>
            </w:r>
          </w:p>
        </w:tc>
      </w:tr>
      <w:tr w:rsidR="006101CE" w:rsidRPr="003B2350" w14:paraId="3F8AAC9E" w14:textId="77777777" w:rsidTr="006D6E1C">
        <w:tc>
          <w:tcPr>
            <w:tcW w:w="2280" w:type="dxa"/>
          </w:tcPr>
          <w:p w14:paraId="40964BEB"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60EB578D" w14:textId="0DCFE8C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Становништво, </w:t>
            </w:r>
            <w:r w:rsidR="003B2350">
              <w:rPr>
                <w:rFonts w:ascii="Times New Roman" w:hAnsi="Times New Roman" w:cs="Times New Roman"/>
                <w:bCs/>
                <w:color w:val="000000"/>
                <w:sz w:val="24"/>
                <w:szCs w:val="24"/>
                <w:lang w:val="sr-Cyrl-RS"/>
              </w:rPr>
              <w:t>ЛАГ</w:t>
            </w:r>
            <w:r w:rsidRPr="003B2350">
              <w:rPr>
                <w:rFonts w:ascii="Times New Roman" w:hAnsi="Times New Roman" w:cs="Times New Roman"/>
                <w:bCs/>
                <w:color w:val="000000"/>
                <w:sz w:val="24"/>
                <w:szCs w:val="24"/>
                <w:lang w:val="sr-Cyrl-RS"/>
              </w:rPr>
              <w:t>,</w:t>
            </w:r>
            <w:r w:rsidR="003B2350">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предузетници, ЈЛС</w:t>
            </w:r>
          </w:p>
        </w:tc>
      </w:tr>
      <w:tr w:rsidR="006101CE" w:rsidRPr="003B2350" w14:paraId="2908F6F2" w14:textId="77777777" w:rsidTr="006D6E1C">
        <w:tc>
          <w:tcPr>
            <w:tcW w:w="2280" w:type="dxa"/>
          </w:tcPr>
          <w:p w14:paraId="460CEE8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7928B086"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56450830" w14:textId="77777777" w:rsidTr="006D6E1C">
        <w:tc>
          <w:tcPr>
            <w:tcW w:w="2280" w:type="dxa"/>
          </w:tcPr>
          <w:p w14:paraId="57F67BE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25FC2C87" w14:textId="3C5F856A"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900.000,00 </w:t>
            </w:r>
            <w:r w:rsidR="00F81019">
              <w:rPr>
                <w:rFonts w:ascii="Times New Roman" w:hAnsi="Times New Roman" w:cs="Times New Roman"/>
                <w:bCs/>
                <w:color w:val="000000"/>
                <w:sz w:val="24"/>
                <w:szCs w:val="24"/>
                <w:lang w:val="sr-Cyrl-RS"/>
              </w:rPr>
              <w:t>дин</w:t>
            </w:r>
          </w:p>
        </w:tc>
      </w:tr>
      <w:tr w:rsidR="006101CE" w:rsidRPr="003B2350" w14:paraId="7E68C87D" w14:textId="77777777" w:rsidTr="006D6E1C">
        <w:tc>
          <w:tcPr>
            <w:tcW w:w="2280" w:type="dxa"/>
          </w:tcPr>
          <w:p w14:paraId="31580EC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бр.9</w:t>
            </w:r>
          </w:p>
        </w:tc>
        <w:tc>
          <w:tcPr>
            <w:tcW w:w="6963" w:type="dxa"/>
          </w:tcPr>
          <w:p w14:paraId="1A3BAD01"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4BFC5CC2" w14:textId="77777777" w:rsidTr="006D6E1C">
        <w:tc>
          <w:tcPr>
            <w:tcW w:w="2280" w:type="dxa"/>
          </w:tcPr>
          <w:p w14:paraId="14E06E68"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00F83D2A" w14:textId="7AC1AFEB"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Приоритет 2.2.</w:t>
            </w:r>
            <w:r w:rsidR="00F81019">
              <w:rPr>
                <w:rFonts w:ascii="Times New Roman" w:hAnsi="Times New Roman" w:cs="Times New Roman"/>
                <w:bCs/>
                <w:sz w:val="24"/>
                <w:szCs w:val="24"/>
                <w:lang w:val="sr-Cyrl-RS"/>
              </w:rPr>
              <w:t xml:space="preserve"> –</w:t>
            </w:r>
            <w:r w:rsidRPr="003B2350">
              <w:rPr>
                <w:rFonts w:ascii="Times New Roman" w:hAnsi="Times New Roman" w:cs="Times New Roman"/>
                <w:bCs/>
                <w:sz w:val="24"/>
                <w:szCs w:val="24"/>
                <w:lang w:val="sr-Cyrl-RS"/>
              </w:rPr>
              <w:t xml:space="preserve"> Подстицање образовања </w:t>
            </w:r>
          </w:p>
          <w:p w14:paraId="4E4F1C45" w14:textId="77777777" w:rsidR="006101CE" w:rsidRPr="003B2350" w:rsidRDefault="006101CE" w:rsidP="006101CE">
            <w:pPr>
              <w:rPr>
                <w:rFonts w:ascii="Times New Roman" w:hAnsi="Times New Roman" w:cs="Times New Roman"/>
                <w:bCs/>
                <w:sz w:val="24"/>
                <w:szCs w:val="24"/>
                <w:lang w:val="sr-Cyrl-RS"/>
              </w:rPr>
            </w:pPr>
          </w:p>
        </w:tc>
      </w:tr>
      <w:tr w:rsidR="006101CE" w:rsidRPr="003B2350" w14:paraId="6F17C063" w14:textId="77777777" w:rsidTr="006D6E1C">
        <w:tc>
          <w:tcPr>
            <w:tcW w:w="2280" w:type="dxa"/>
          </w:tcPr>
          <w:p w14:paraId="2B7F4DAD"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4F64F4FF" w14:textId="27E92E72"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ЦИЉ 2 </w:t>
            </w:r>
            <w:r w:rsidR="007D276C">
              <w:rPr>
                <w:rFonts w:ascii="Times New Roman" w:hAnsi="Times New Roman" w:cs="Times New Roman"/>
                <w:bCs/>
                <w:sz w:val="24"/>
                <w:szCs w:val="24"/>
                <w:lang w:val="sr-Cyrl-RS"/>
              </w:rPr>
              <w:t>–</w:t>
            </w:r>
            <w:r w:rsidRPr="003B2350">
              <w:rPr>
                <w:rFonts w:ascii="Times New Roman" w:hAnsi="Times New Roman" w:cs="Times New Roman"/>
                <w:bCs/>
                <w:sz w:val="24"/>
                <w:szCs w:val="24"/>
                <w:lang w:val="sr-Cyrl-RS"/>
              </w:rPr>
              <w:t xml:space="preserve"> Побољшање квалитета живота и подстицај непољопривредних делатности</w:t>
            </w:r>
          </w:p>
        </w:tc>
      </w:tr>
      <w:tr w:rsidR="006101CE" w:rsidRPr="003B2350" w14:paraId="0B99C22C" w14:textId="77777777" w:rsidTr="006D6E1C">
        <w:tc>
          <w:tcPr>
            <w:tcW w:w="2280" w:type="dxa"/>
          </w:tcPr>
          <w:p w14:paraId="0F7D919B" w14:textId="77777777" w:rsidR="00F81019"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7D3C896D" w14:textId="5F479636"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пројекта</w:t>
            </w:r>
          </w:p>
        </w:tc>
        <w:tc>
          <w:tcPr>
            <w:tcW w:w="6963" w:type="dxa"/>
          </w:tcPr>
          <w:p w14:paraId="1671175B" w14:textId="585A8A94"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Подстицање и подршка образовању свих старосних доба људи –</w:t>
            </w:r>
            <w:r w:rsidR="00F81019">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унапређење образовне структуре и компетенција  у складу са тржишним потребама</w:t>
            </w:r>
          </w:p>
        </w:tc>
      </w:tr>
      <w:tr w:rsidR="006101CE" w:rsidRPr="003B2350" w14:paraId="3EF9484A" w14:textId="77777777" w:rsidTr="006D6E1C">
        <w:tc>
          <w:tcPr>
            <w:tcW w:w="2280" w:type="dxa"/>
          </w:tcPr>
          <w:p w14:paraId="24BAC9BC"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2CD9EA2B"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2022-2023</w:t>
            </w:r>
          </w:p>
        </w:tc>
      </w:tr>
      <w:tr w:rsidR="006101CE" w:rsidRPr="003B2350" w14:paraId="524050EA" w14:textId="77777777" w:rsidTr="006D6E1C">
        <w:tc>
          <w:tcPr>
            <w:tcW w:w="2280" w:type="dxa"/>
          </w:tcPr>
          <w:p w14:paraId="7C572276"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35D1F211" w14:textId="6A0FAC73"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Школе, </w:t>
            </w:r>
            <w:r w:rsidR="00F81019">
              <w:rPr>
                <w:rFonts w:ascii="Times New Roman" w:hAnsi="Times New Roman" w:cs="Times New Roman"/>
                <w:bCs/>
                <w:color w:val="000000"/>
                <w:sz w:val="24"/>
                <w:szCs w:val="24"/>
                <w:lang w:val="sr-Cyrl-RS"/>
              </w:rPr>
              <w:t>м</w:t>
            </w:r>
            <w:r w:rsidRPr="003B2350">
              <w:rPr>
                <w:rFonts w:ascii="Times New Roman" w:hAnsi="Times New Roman" w:cs="Times New Roman"/>
                <w:bCs/>
                <w:color w:val="000000"/>
                <w:sz w:val="24"/>
                <w:szCs w:val="24"/>
                <w:lang w:val="sr-Cyrl-RS"/>
              </w:rPr>
              <w:t xml:space="preserve">лади, </w:t>
            </w:r>
            <w:r w:rsidR="00F81019">
              <w:rPr>
                <w:rFonts w:ascii="Times New Roman" w:hAnsi="Times New Roman" w:cs="Times New Roman"/>
                <w:bCs/>
                <w:color w:val="000000"/>
                <w:sz w:val="24"/>
                <w:szCs w:val="24"/>
                <w:lang w:val="sr-Cyrl-RS"/>
              </w:rPr>
              <w:t>с</w:t>
            </w:r>
            <w:r w:rsidRPr="003B2350">
              <w:rPr>
                <w:rFonts w:ascii="Times New Roman" w:hAnsi="Times New Roman" w:cs="Times New Roman"/>
                <w:bCs/>
                <w:color w:val="000000"/>
                <w:sz w:val="24"/>
                <w:szCs w:val="24"/>
                <w:lang w:val="sr-Cyrl-RS"/>
              </w:rPr>
              <w:t>тановништво, ЈЛС,</w:t>
            </w:r>
            <w:r w:rsidR="00F81019">
              <w:rPr>
                <w:rFonts w:ascii="Times New Roman" w:hAnsi="Times New Roman" w:cs="Times New Roman"/>
                <w:bCs/>
                <w:color w:val="000000"/>
                <w:sz w:val="24"/>
                <w:szCs w:val="24"/>
                <w:lang w:val="sr-Cyrl-RS"/>
              </w:rPr>
              <w:t xml:space="preserve"> </w:t>
            </w:r>
            <w:r w:rsidRPr="003B2350">
              <w:rPr>
                <w:rFonts w:ascii="Times New Roman" w:hAnsi="Times New Roman" w:cs="Times New Roman"/>
                <w:bCs/>
                <w:color w:val="000000"/>
                <w:sz w:val="24"/>
                <w:szCs w:val="24"/>
                <w:lang w:val="sr-Cyrl-RS"/>
              </w:rPr>
              <w:t>привредници</w:t>
            </w:r>
          </w:p>
        </w:tc>
      </w:tr>
      <w:tr w:rsidR="006101CE" w:rsidRPr="003B2350" w14:paraId="7AD1AE1C" w14:textId="77777777" w:rsidTr="006D6E1C">
        <w:tc>
          <w:tcPr>
            <w:tcW w:w="2280" w:type="dxa"/>
          </w:tcPr>
          <w:p w14:paraId="086CF99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57AF4AB4" w14:textId="1D6AF32B"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00F81019">
              <w:rPr>
                <w:rFonts w:ascii="Times New Roman" w:hAnsi="Times New Roman" w:cs="Times New Roman"/>
                <w:bCs/>
                <w:color w:val="000000"/>
                <w:sz w:val="24"/>
                <w:szCs w:val="24"/>
                <w:lang w:val="sr-Cyrl-RS"/>
              </w:rPr>
              <w:t>д</w:t>
            </w:r>
            <w:r w:rsidRPr="003B2350">
              <w:rPr>
                <w:rFonts w:ascii="Times New Roman" w:hAnsi="Times New Roman" w:cs="Times New Roman"/>
                <w:bCs/>
                <w:color w:val="000000"/>
                <w:sz w:val="24"/>
                <w:szCs w:val="24"/>
                <w:lang w:val="sr-Cyrl-RS"/>
              </w:rPr>
              <w:t>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7C2DFA5B" w14:textId="77777777" w:rsidTr="006D6E1C">
        <w:tc>
          <w:tcPr>
            <w:tcW w:w="2280" w:type="dxa"/>
          </w:tcPr>
          <w:p w14:paraId="5911566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092C1BAA" w14:textId="08B29361"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700.000,00</w:t>
            </w:r>
            <w:r w:rsidR="00F81019">
              <w:rPr>
                <w:rFonts w:ascii="Times New Roman" w:hAnsi="Times New Roman" w:cs="Times New Roman"/>
                <w:bCs/>
                <w:color w:val="000000"/>
                <w:sz w:val="24"/>
                <w:szCs w:val="24"/>
                <w:lang w:val="sr-Cyrl-RS"/>
              </w:rPr>
              <w:t xml:space="preserve"> дин</w:t>
            </w:r>
          </w:p>
        </w:tc>
      </w:tr>
      <w:tr w:rsidR="006101CE" w:rsidRPr="003B2350" w14:paraId="13251394" w14:textId="77777777" w:rsidTr="006D6E1C">
        <w:tc>
          <w:tcPr>
            <w:tcW w:w="2280" w:type="dxa"/>
          </w:tcPr>
          <w:p w14:paraId="0AEA7EB5"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бр.10</w:t>
            </w:r>
          </w:p>
        </w:tc>
        <w:tc>
          <w:tcPr>
            <w:tcW w:w="6963" w:type="dxa"/>
          </w:tcPr>
          <w:p w14:paraId="610B8CCA"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686AC228" w14:textId="77777777" w:rsidTr="006D6E1C">
        <w:tc>
          <w:tcPr>
            <w:tcW w:w="2280" w:type="dxa"/>
          </w:tcPr>
          <w:p w14:paraId="106CC15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06077D9E" w14:textId="2AFF87F9"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Приоритет 2.3 - Заштита и промоција људских права</w:t>
            </w:r>
          </w:p>
        </w:tc>
      </w:tr>
      <w:tr w:rsidR="006101CE" w:rsidRPr="003B2350" w14:paraId="58059791" w14:textId="77777777" w:rsidTr="006D6E1C">
        <w:tc>
          <w:tcPr>
            <w:tcW w:w="2280" w:type="dxa"/>
          </w:tcPr>
          <w:p w14:paraId="62A7555E"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5DE5E817" w14:textId="45CC9D58"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ЦИЉ 2 - Побољшање квалитета живота и подстицај непољопривредних делатности</w:t>
            </w:r>
          </w:p>
        </w:tc>
      </w:tr>
      <w:tr w:rsidR="006101CE" w:rsidRPr="003B2350" w14:paraId="35084533" w14:textId="77777777" w:rsidTr="006D6E1C">
        <w:tc>
          <w:tcPr>
            <w:tcW w:w="2280" w:type="dxa"/>
          </w:tcPr>
          <w:p w14:paraId="1F7C6D2E" w14:textId="77777777" w:rsidR="00F81019"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69946E04" w14:textId="3BC569E6"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пројекта</w:t>
            </w:r>
          </w:p>
        </w:tc>
        <w:tc>
          <w:tcPr>
            <w:tcW w:w="6963" w:type="dxa"/>
          </w:tcPr>
          <w:p w14:paraId="7BB049B3" w14:textId="03754246" w:rsidR="006101CE" w:rsidRPr="00F81019"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Побољшање квалитета живота маргинализованих и рањивих друштвених група, подстицање превентивне здравствене заштите и подршка здравом начину живота.</w:t>
            </w:r>
          </w:p>
        </w:tc>
      </w:tr>
      <w:tr w:rsidR="006101CE" w:rsidRPr="003B2350" w14:paraId="0974E325" w14:textId="77777777" w:rsidTr="006D6E1C">
        <w:tc>
          <w:tcPr>
            <w:tcW w:w="2280" w:type="dxa"/>
          </w:tcPr>
          <w:p w14:paraId="19538208"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33B031D7"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2022-2023</w:t>
            </w:r>
          </w:p>
        </w:tc>
      </w:tr>
      <w:tr w:rsidR="006101CE" w:rsidRPr="003B2350" w14:paraId="25CA31AF" w14:textId="77777777" w:rsidTr="006D6E1C">
        <w:tc>
          <w:tcPr>
            <w:tcW w:w="2280" w:type="dxa"/>
          </w:tcPr>
          <w:p w14:paraId="643AB45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3B256CC2" w14:textId="55FA5584"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Становништво, </w:t>
            </w:r>
            <w:r w:rsidR="00F81019">
              <w:rPr>
                <w:rFonts w:ascii="Times New Roman" w:hAnsi="Times New Roman" w:cs="Times New Roman"/>
                <w:bCs/>
                <w:color w:val="000000"/>
                <w:sz w:val="24"/>
                <w:szCs w:val="24"/>
                <w:lang w:val="sr-Cyrl-RS"/>
              </w:rPr>
              <w:t>ш</w:t>
            </w:r>
            <w:r w:rsidRPr="003B2350">
              <w:rPr>
                <w:rFonts w:ascii="Times New Roman" w:hAnsi="Times New Roman" w:cs="Times New Roman"/>
                <w:bCs/>
                <w:color w:val="000000"/>
                <w:sz w:val="24"/>
                <w:szCs w:val="24"/>
                <w:lang w:val="sr-Cyrl-RS"/>
              </w:rPr>
              <w:t xml:space="preserve">коле, </w:t>
            </w:r>
            <w:r w:rsidR="00F81019">
              <w:rPr>
                <w:rFonts w:ascii="Times New Roman" w:hAnsi="Times New Roman" w:cs="Times New Roman"/>
                <w:bCs/>
                <w:color w:val="000000"/>
                <w:sz w:val="24"/>
                <w:szCs w:val="24"/>
                <w:lang w:val="sr-Cyrl-RS"/>
              </w:rPr>
              <w:t>у</w:t>
            </w:r>
            <w:r w:rsidRPr="003B2350">
              <w:rPr>
                <w:rFonts w:ascii="Times New Roman" w:hAnsi="Times New Roman" w:cs="Times New Roman"/>
                <w:bCs/>
                <w:color w:val="000000"/>
                <w:sz w:val="24"/>
                <w:szCs w:val="24"/>
                <w:lang w:val="sr-Cyrl-RS"/>
              </w:rPr>
              <w:t xml:space="preserve">дружења, </w:t>
            </w:r>
            <w:r w:rsidR="00F81019">
              <w:rPr>
                <w:rFonts w:ascii="Times New Roman" w:hAnsi="Times New Roman" w:cs="Times New Roman"/>
                <w:bCs/>
                <w:color w:val="000000"/>
                <w:sz w:val="24"/>
                <w:szCs w:val="24"/>
                <w:lang w:val="sr-Cyrl-RS"/>
              </w:rPr>
              <w:t>м</w:t>
            </w:r>
            <w:r w:rsidRPr="003B2350">
              <w:rPr>
                <w:rFonts w:ascii="Times New Roman" w:hAnsi="Times New Roman" w:cs="Times New Roman"/>
                <w:bCs/>
                <w:color w:val="000000"/>
                <w:sz w:val="24"/>
                <w:szCs w:val="24"/>
                <w:lang w:val="sr-Cyrl-RS"/>
              </w:rPr>
              <w:t>аргинализоване групе, Л</w:t>
            </w:r>
            <w:r w:rsidR="00F81019">
              <w:rPr>
                <w:rFonts w:ascii="Times New Roman" w:hAnsi="Times New Roman" w:cs="Times New Roman"/>
                <w:bCs/>
                <w:color w:val="000000"/>
                <w:sz w:val="24"/>
                <w:szCs w:val="24"/>
                <w:lang w:val="sr-Cyrl-RS"/>
              </w:rPr>
              <w:t>АГ</w:t>
            </w:r>
            <w:r w:rsidRPr="003B2350">
              <w:rPr>
                <w:rFonts w:ascii="Times New Roman" w:hAnsi="Times New Roman" w:cs="Times New Roman"/>
                <w:bCs/>
                <w:color w:val="000000"/>
                <w:sz w:val="24"/>
                <w:szCs w:val="24"/>
                <w:lang w:val="sr-Cyrl-RS"/>
              </w:rPr>
              <w:t>, ЈЛС</w:t>
            </w:r>
          </w:p>
        </w:tc>
      </w:tr>
      <w:tr w:rsidR="006101CE" w:rsidRPr="003B2350" w14:paraId="25A57688" w14:textId="77777777" w:rsidTr="006D6E1C">
        <w:tc>
          <w:tcPr>
            <w:tcW w:w="2280" w:type="dxa"/>
          </w:tcPr>
          <w:p w14:paraId="58E0CCEE"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4322B5CE" w14:textId="0BD4B070"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00F81019">
              <w:rPr>
                <w:rFonts w:ascii="Times New Roman" w:hAnsi="Times New Roman" w:cs="Times New Roman"/>
                <w:bCs/>
                <w:color w:val="000000"/>
                <w:sz w:val="24"/>
                <w:szCs w:val="24"/>
                <w:lang w:val="sr-Cyrl-RS"/>
              </w:rPr>
              <w:t>д</w:t>
            </w:r>
            <w:r w:rsidRPr="003B2350">
              <w:rPr>
                <w:rFonts w:ascii="Times New Roman" w:hAnsi="Times New Roman" w:cs="Times New Roman"/>
                <w:bCs/>
                <w:color w:val="000000"/>
                <w:sz w:val="24"/>
                <w:szCs w:val="24"/>
                <w:lang w:val="sr-Cyrl-RS"/>
              </w:rPr>
              <w:t>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34899B77" w14:textId="77777777" w:rsidTr="006D6E1C">
        <w:tc>
          <w:tcPr>
            <w:tcW w:w="2280" w:type="dxa"/>
          </w:tcPr>
          <w:p w14:paraId="57C0F8F3"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211B6F4D" w14:textId="405D9E06"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500.000,00 </w:t>
            </w:r>
            <w:r w:rsidR="007D276C">
              <w:rPr>
                <w:rFonts w:ascii="Times New Roman" w:hAnsi="Times New Roman" w:cs="Times New Roman"/>
                <w:bCs/>
                <w:color w:val="000000"/>
                <w:sz w:val="24"/>
                <w:szCs w:val="24"/>
                <w:lang w:val="sr-Cyrl-RS"/>
              </w:rPr>
              <w:t>дин</w:t>
            </w:r>
          </w:p>
        </w:tc>
      </w:tr>
      <w:tr w:rsidR="006101CE" w:rsidRPr="003B2350" w14:paraId="2D51F3A8" w14:textId="77777777" w:rsidTr="006D6E1C">
        <w:tc>
          <w:tcPr>
            <w:tcW w:w="2280" w:type="dxa"/>
          </w:tcPr>
          <w:p w14:paraId="1E1DEA71"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бр.11</w:t>
            </w:r>
          </w:p>
        </w:tc>
        <w:tc>
          <w:tcPr>
            <w:tcW w:w="6963" w:type="dxa"/>
          </w:tcPr>
          <w:p w14:paraId="7CB7AC17"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33665045" w14:textId="77777777" w:rsidTr="006D6E1C">
        <w:tc>
          <w:tcPr>
            <w:tcW w:w="2280" w:type="dxa"/>
          </w:tcPr>
          <w:p w14:paraId="3BFD2CE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/област; </w:t>
            </w:r>
          </w:p>
        </w:tc>
        <w:tc>
          <w:tcPr>
            <w:tcW w:w="6963" w:type="dxa"/>
          </w:tcPr>
          <w:p w14:paraId="5E991FD0" w14:textId="45EE3C77"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3.1 </w:t>
            </w:r>
            <w:r w:rsidR="007D276C">
              <w:rPr>
                <w:rFonts w:ascii="Times New Roman" w:hAnsi="Times New Roman" w:cs="Times New Roman"/>
                <w:bCs/>
                <w:sz w:val="24"/>
                <w:szCs w:val="24"/>
                <w:lang w:val="sr-Cyrl-RS"/>
              </w:rPr>
              <w:t>–</w:t>
            </w:r>
            <w:r w:rsidRPr="003B2350">
              <w:rPr>
                <w:rFonts w:ascii="Times New Roman" w:hAnsi="Times New Roman" w:cs="Times New Roman"/>
                <w:bCs/>
                <w:sz w:val="24"/>
                <w:szCs w:val="24"/>
                <w:lang w:val="sr-Cyrl-RS"/>
              </w:rPr>
              <w:t xml:space="preserve"> Заштита природних вредности и животне средине</w:t>
            </w:r>
          </w:p>
        </w:tc>
      </w:tr>
      <w:tr w:rsidR="006101CE" w:rsidRPr="003B2350" w14:paraId="7BBBC52F" w14:textId="77777777" w:rsidTr="006D6E1C">
        <w:tc>
          <w:tcPr>
            <w:tcW w:w="2280" w:type="dxa"/>
          </w:tcPr>
          <w:p w14:paraId="77223B8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5E54F159" w14:textId="1DB32AA6"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ЦИЉ. 3</w:t>
            </w:r>
            <w:r w:rsidR="00F81019">
              <w:rPr>
                <w:rFonts w:ascii="Times New Roman" w:hAnsi="Times New Roman" w:cs="Times New Roman"/>
                <w:bCs/>
                <w:sz w:val="24"/>
                <w:szCs w:val="24"/>
                <w:lang w:val="sr-Cyrl-RS"/>
              </w:rPr>
              <w:t xml:space="preserve"> – </w:t>
            </w:r>
            <w:r w:rsidRPr="003B2350">
              <w:rPr>
                <w:rFonts w:ascii="Times New Roman" w:hAnsi="Times New Roman" w:cs="Times New Roman"/>
                <w:bCs/>
                <w:sz w:val="24"/>
                <w:szCs w:val="24"/>
              </w:rPr>
              <w:t>Одрживи развој руралних подручја</w:t>
            </w:r>
          </w:p>
        </w:tc>
      </w:tr>
      <w:tr w:rsidR="006101CE" w:rsidRPr="003B2350" w14:paraId="3CB9C1DD" w14:textId="77777777" w:rsidTr="006D6E1C">
        <w:tc>
          <w:tcPr>
            <w:tcW w:w="2280" w:type="dxa"/>
          </w:tcPr>
          <w:p w14:paraId="37D2F0A1" w14:textId="77777777" w:rsidR="00F81019"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6D88A4D1" w14:textId="7A5F5F2B"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пројекта</w:t>
            </w:r>
          </w:p>
        </w:tc>
        <w:tc>
          <w:tcPr>
            <w:tcW w:w="6963" w:type="dxa"/>
          </w:tcPr>
          <w:p w14:paraId="48CEB31A" w14:textId="32661BA4" w:rsidR="006101CE" w:rsidRPr="00F81019"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Развој система за праћење стања и заштиту животне средине</w:t>
            </w:r>
            <w:r w:rsidRPr="003B2350">
              <w:rPr>
                <w:rFonts w:ascii="Times New Roman" w:hAnsi="Times New Roman" w:cs="Times New Roman"/>
                <w:bCs/>
                <w:color w:val="000000"/>
                <w:sz w:val="24"/>
                <w:szCs w:val="24"/>
                <w:lang w:val="sr-Cyrl-RS"/>
              </w:rPr>
              <w:t xml:space="preserve"> и повећање знања, вештина и мотивисаности становника о заштити и очувању природних ресурса</w:t>
            </w:r>
          </w:p>
        </w:tc>
      </w:tr>
      <w:tr w:rsidR="006101CE" w:rsidRPr="003B2350" w14:paraId="404BA710" w14:textId="77777777" w:rsidTr="006D6E1C">
        <w:tc>
          <w:tcPr>
            <w:tcW w:w="2280" w:type="dxa"/>
          </w:tcPr>
          <w:p w14:paraId="3D4F17D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1E51B9A5"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2022-2023</w:t>
            </w:r>
          </w:p>
        </w:tc>
      </w:tr>
      <w:tr w:rsidR="006101CE" w:rsidRPr="003B2350" w14:paraId="5D376C43" w14:textId="77777777" w:rsidTr="006D6E1C">
        <w:tc>
          <w:tcPr>
            <w:tcW w:w="2280" w:type="dxa"/>
          </w:tcPr>
          <w:p w14:paraId="3154EC8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2202B71C" w14:textId="460269F4"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Становништво, </w:t>
            </w:r>
            <w:r w:rsidR="00F81019">
              <w:rPr>
                <w:rFonts w:ascii="Times New Roman" w:hAnsi="Times New Roman" w:cs="Times New Roman"/>
                <w:bCs/>
                <w:color w:val="000000"/>
                <w:sz w:val="24"/>
                <w:szCs w:val="24"/>
                <w:lang w:val="sr-Cyrl-RS"/>
              </w:rPr>
              <w:t>ш</w:t>
            </w:r>
            <w:r w:rsidRPr="003B2350">
              <w:rPr>
                <w:rFonts w:ascii="Times New Roman" w:hAnsi="Times New Roman" w:cs="Times New Roman"/>
                <w:bCs/>
                <w:color w:val="000000"/>
                <w:sz w:val="24"/>
                <w:szCs w:val="24"/>
                <w:lang w:val="sr-Cyrl-RS"/>
              </w:rPr>
              <w:t>коле,</w:t>
            </w:r>
            <w:r w:rsidR="00F81019">
              <w:rPr>
                <w:rFonts w:ascii="Times New Roman" w:hAnsi="Times New Roman" w:cs="Times New Roman"/>
                <w:bCs/>
                <w:color w:val="000000"/>
                <w:sz w:val="24"/>
                <w:szCs w:val="24"/>
                <w:lang w:val="sr-Cyrl-RS"/>
              </w:rPr>
              <w:t xml:space="preserve"> и</w:t>
            </w:r>
            <w:r w:rsidRPr="003B2350">
              <w:rPr>
                <w:rFonts w:ascii="Times New Roman" w:hAnsi="Times New Roman" w:cs="Times New Roman"/>
                <w:bCs/>
                <w:color w:val="000000"/>
                <w:sz w:val="24"/>
                <w:szCs w:val="24"/>
                <w:lang w:val="sr-Cyrl-RS"/>
              </w:rPr>
              <w:t>нституције, привредници</w:t>
            </w:r>
            <w:r w:rsidR="00F81019">
              <w:rPr>
                <w:rFonts w:ascii="Times New Roman" w:hAnsi="Times New Roman" w:cs="Times New Roman"/>
                <w:bCs/>
                <w:color w:val="000000"/>
                <w:sz w:val="24"/>
                <w:szCs w:val="24"/>
                <w:lang w:val="sr-Cyrl-RS"/>
              </w:rPr>
              <w:t>, уд</w:t>
            </w:r>
            <w:r w:rsidRPr="003B2350">
              <w:rPr>
                <w:rFonts w:ascii="Times New Roman" w:hAnsi="Times New Roman" w:cs="Times New Roman"/>
                <w:bCs/>
                <w:color w:val="000000"/>
                <w:sz w:val="24"/>
                <w:szCs w:val="24"/>
                <w:lang w:val="sr-Cyrl-RS"/>
              </w:rPr>
              <w:t>ружења, Лаг, ЈЛС</w:t>
            </w:r>
          </w:p>
        </w:tc>
      </w:tr>
      <w:tr w:rsidR="006101CE" w:rsidRPr="003B2350" w14:paraId="5BCA5E45" w14:textId="77777777" w:rsidTr="006D6E1C">
        <w:tc>
          <w:tcPr>
            <w:tcW w:w="2280" w:type="dxa"/>
          </w:tcPr>
          <w:p w14:paraId="32411DEF"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07261A44" w14:textId="65A7988B"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Pr="003B2350">
              <w:rPr>
                <w:rFonts w:ascii="Times New Roman" w:hAnsi="Times New Roman" w:cs="Times New Roman"/>
                <w:bCs/>
                <w:color w:val="000000"/>
                <w:sz w:val="24"/>
                <w:szCs w:val="24"/>
                <w:lang w:val="sr-Cyrl-RS"/>
              </w:rPr>
              <w:t>Донатори,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4890B079" w14:textId="77777777" w:rsidTr="006D6E1C">
        <w:tc>
          <w:tcPr>
            <w:tcW w:w="2280" w:type="dxa"/>
          </w:tcPr>
          <w:p w14:paraId="7D8F666A"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0158D930" w14:textId="7F844BDE"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2.500.000,00 </w:t>
            </w:r>
            <w:r w:rsidR="007D276C">
              <w:rPr>
                <w:rFonts w:ascii="Times New Roman" w:hAnsi="Times New Roman" w:cs="Times New Roman"/>
                <w:bCs/>
                <w:color w:val="000000"/>
                <w:sz w:val="24"/>
                <w:szCs w:val="24"/>
                <w:lang w:val="sr-Cyrl-RS"/>
              </w:rPr>
              <w:t>дин</w:t>
            </w:r>
          </w:p>
        </w:tc>
      </w:tr>
      <w:tr w:rsidR="006101CE" w:rsidRPr="003B2350" w14:paraId="6845FFD5" w14:textId="77777777" w:rsidTr="006D6E1C">
        <w:tc>
          <w:tcPr>
            <w:tcW w:w="2280" w:type="dxa"/>
          </w:tcPr>
          <w:p w14:paraId="71CEE7F9"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бр.12</w:t>
            </w:r>
          </w:p>
        </w:tc>
        <w:tc>
          <w:tcPr>
            <w:tcW w:w="6963" w:type="dxa"/>
          </w:tcPr>
          <w:p w14:paraId="29A634D8"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37F4DDB2" w14:textId="77777777" w:rsidTr="006D6E1C">
        <w:tc>
          <w:tcPr>
            <w:tcW w:w="2280" w:type="dxa"/>
          </w:tcPr>
          <w:p w14:paraId="60748583" w14:textId="699403B4"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/област;</w:t>
            </w:r>
          </w:p>
        </w:tc>
        <w:tc>
          <w:tcPr>
            <w:tcW w:w="6963" w:type="dxa"/>
          </w:tcPr>
          <w:p w14:paraId="399583FA" w14:textId="1C557075"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3.2 </w:t>
            </w:r>
            <w:r w:rsidR="007D276C">
              <w:rPr>
                <w:rFonts w:ascii="Times New Roman" w:hAnsi="Times New Roman" w:cs="Times New Roman"/>
                <w:bCs/>
                <w:sz w:val="24"/>
                <w:szCs w:val="24"/>
                <w:lang w:val="sr-Cyrl-RS"/>
              </w:rPr>
              <w:t>–</w:t>
            </w:r>
            <w:r w:rsidRPr="003B2350">
              <w:rPr>
                <w:rFonts w:ascii="Times New Roman" w:hAnsi="Times New Roman" w:cs="Times New Roman"/>
                <w:bCs/>
                <w:sz w:val="24"/>
                <w:szCs w:val="24"/>
                <w:lang w:val="sr-Cyrl-RS"/>
              </w:rPr>
              <w:t xml:space="preserve"> Енергетска одрживост</w:t>
            </w:r>
          </w:p>
        </w:tc>
      </w:tr>
      <w:tr w:rsidR="006101CE" w:rsidRPr="003B2350" w14:paraId="22428D19" w14:textId="77777777" w:rsidTr="006D6E1C">
        <w:tc>
          <w:tcPr>
            <w:tcW w:w="2280" w:type="dxa"/>
          </w:tcPr>
          <w:p w14:paraId="47E9C144" w14:textId="4FFE0989"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б. Циљ;</w:t>
            </w:r>
          </w:p>
        </w:tc>
        <w:tc>
          <w:tcPr>
            <w:tcW w:w="6963" w:type="dxa"/>
          </w:tcPr>
          <w:p w14:paraId="45F6A5C7" w14:textId="2B4CA8E4"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ЦИЉ. 3</w:t>
            </w:r>
            <w:r w:rsidR="007D276C">
              <w:rPr>
                <w:rFonts w:ascii="Times New Roman" w:hAnsi="Times New Roman" w:cs="Times New Roman"/>
                <w:bCs/>
                <w:sz w:val="24"/>
                <w:szCs w:val="24"/>
                <w:lang w:val="sr-Cyrl-RS"/>
              </w:rPr>
              <w:t xml:space="preserve"> – </w:t>
            </w:r>
            <w:r w:rsidRPr="003B2350">
              <w:rPr>
                <w:rFonts w:ascii="Times New Roman" w:hAnsi="Times New Roman" w:cs="Times New Roman"/>
                <w:bCs/>
                <w:sz w:val="24"/>
                <w:szCs w:val="24"/>
              </w:rPr>
              <w:t>Одрживи развој руралних подручја</w:t>
            </w:r>
          </w:p>
        </w:tc>
      </w:tr>
      <w:tr w:rsidR="006101CE" w:rsidRPr="003B2350" w14:paraId="5852E164" w14:textId="77777777" w:rsidTr="006D6E1C">
        <w:tc>
          <w:tcPr>
            <w:tcW w:w="2280" w:type="dxa"/>
          </w:tcPr>
          <w:p w14:paraId="67C037D6" w14:textId="77777777" w:rsidR="00F81019"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6E2BCEB2" w14:textId="542AF378"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пројекта</w:t>
            </w:r>
          </w:p>
        </w:tc>
        <w:tc>
          <w:tcPr>
            <w:tcW w:w="6963" w:type="dxa"/>
          </w:tcPr>
          <w:p w14:paraId="21A581F8"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Подстицање коришчења обновљивих извора енергије</w:t>
            </w:r>
          </w:p>
          <w:p w14:paraId="40BE1C5D" w14:textId="0ECB1D8F" w:rsidR="006101CE" w:rsidRPr="00F81019"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и промовисање енергетске ефикасности</w:t>
            </w:r>
          </w:p>
        </w:tc>
      </w:tr>
      <w:tr w:rsidR="006101CE" w:rsidRPr="003B2350" w14:paraId="5814710D" w14:textId="77777777" w:rsidTr="006D6E1C">
        <w:tc>
          <w:tcPr>
            <w:tcW w:w="2280" w:type="dxa"/>
          </w:tcPr>
          <w:p w14:paraId="7E9DAFB6"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026AD906"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2022-2023</w:t>
            </w:r>
          </w:p>
        </w:tc>
      </w:tr>
      <w:tr w:rsidR="006101CE" w:rsidRPr="003B2350" w14:paraId="067B23AC" w14:textId="77777777" w:rsidTr="006D6E1C">
        <w:tc>
          <w:tcPr>
            <w:tcW w:w="2280" w:type="dxa"/>
          </w:tcPr>
          <w:p w14:paraId="2341F092"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33B6CA49" w14:textId="4B170EF6"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Становништво, </w:t>
            </w:r>
            <w:r w:rsidR="00F81019">
              <w:rPr>
                <w:rFonts w:ascii="Times New Roman" w:hAnsi="Times New Roman" w:cs="Times New Roman"/>
                <w:bCs/>
                <w:color w:val="000000"/>
                <w:sz w:val="24"/>
                <w:szCs w:val="24"/>
                <w:lang w:val="sr-Cyrl-RS"/>
              </w:rPr>
              <w:t>ш</w:t>
            </w:r>
            <w:r w:rsidRPr="003B2350">
              <w:rPr>
                <w:rFonts w:ascii="Times New Roman" w:hAnsi="Times New Roman" w:cs="Times New Roman"/>
                <w:bCs/>
                <w:color w:val="000000"/>
                <w:sz w:val="24"/>
                <w:szCs w:val="24"/>
                <w:lang w:val="sr-Cyrl-RS"/>
              </w:rPr>
              <w:t>коле,</w:t>
            </w:r>
            <w:r w:rsidR="00F81019">
              <w:rPr>
                <w:rFonts w:ascii="Times New Roman" w:hAnsi="Times New Roman" w:cs="Times New Roman"/>
                <w:bCs/>
                <w:color w:val="000000"/>
                <w:sz w:val="24"/>
                <w:szCs w:val="24"/>
                <w:lang w:val="sr-Cyrl-RS"/>
              </w:rPr>
              <w:t xml:space="preserve"> и</w:t>
            </w:r>
            <w:r w:rsidRPr="003B2350">
              <w:rPr>
                <w:rFonts w:ascii="Times New Roman" w:hAnsi="Times New Roman" w:cs="Times New Roman"/>
                <w:bCs/>
                <w:color w:val="000000"/>
                <w:sz w:val="24"/>
                <w:szCs w:val="24"/>
                <w:lang w:val="sr-Cyrl-RS"/>
              </w:rPr>
              <w:t>нституције, привредници</w:t>
            </w:r>
            <w:r w:rsidR="00F81019">
              <w:rPr>
                <w:rFonts w:ascii="Times New Roman" w:hAnsi="Times New Roman" w:cs="Times New Roman"/>
                <w:bCs/>
                <w:color w:val="000000"/>
                <w:sz w:val="24"/>
                <w:szCs w:val="24"/>
                <w:lang w:val="sr-Cyrl-RS"/>
              </w:rPr>
              <w:t>,</w:t>
            </w:r>
            <w:r w:rsidRPr="003B2350">
              <w:rPr>
                <w:rFonts w:ascii="Times New Roman" w:hAnsi="Times New Roman" w:cs="Times New Roman"/>
                <w:bCs/>
                <w:color w:val="000000"/>
                <w:sz w:val="24"/>
                <w:szCs w:val="24"/>
                <w:lang w:val="sr-Cyrl-RS"/>
              </w:rPr>
              <w:t xml:space="preserve"> </w:t>
            </w:r>
            <w:r w:rsidR="00F81019">
              <w:rPr>
                <w:rFonts w:ascii="Times New Roman" w:hAnsi="Times New Roman" w:cs="Times New Roman"/>
                <w:bCs/>
                <w:color w:val="000000"/>
                <w:sz w:val="24"/>
                <w:szCs w:val="24"/>
                <w:lang w:val="sr-Cyrl-RS"/>
              </w:rPr>
              <w:t>у</w:t>
            </w:r>
            <w:r w:rsidRPr="003B2350">
              <w:rPr>
                <w:rFonts w:ascii="Times New Roman" w:hAnsi="Times New Roman" w:cs="Times New Roman"/>
                <w:bCs/>
                <w:color w:val="000000"/>
                <w:sz w:val="24"/>
                <w:szCs w:val="24"/>
                <w:lang w:val="sr-Cyrl-RS"/>
              </w:rPr>
              <w:t>дружења, Лаг, ЈЛС</w:t>
            </w:r>
          </w:p>
        </w:tc>
      </w:tr>
      <w:tr w:rsidR="006101CE" w:rsidRPr="003B2350" w14:paraId="127CA1E1" w14:textId="77777777" w:rsidTr="006D6E1C">
        <w:tc>
          <w:tcPr>
            <w:tcW w:w="2280" w:type="dxa"/>
          </w:tcPr>
          <w:p w14:paraId="3D142619"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490651CB" w14:textId="435BDA6E"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00F81019">
              <w:rPr>
                <w:rFonts w:ascii="Times New Roman" w:hAnsi="Times New Roman" w:cs="Times New Roman"/>
                <w:bCs/>
                <w:color w:val="000000"/>
                <w:sz w:val="24"/>
                <w:szCs w:val="24"/>
                <w:lang w:val="sr-Cyrl-RS"/>
              </w:rPr>
              <w:t>д</w:t>
            </w:r>
            <w:r w:rsidRPr="003B2350">
              <w:rPr>
                <w:rFonts w:ascii="Times New Roman" w:hAnsi="Times New Roman" w:cs="Times New Roman"/>
                <w:bCs/>
                <w:color w:val="000000"/>
                <w:sz w:val="24"/>
                <w:szCs w:val="24"/>
                <w:lang w:val="sr-Cyrl-RS"/>
              </w:rPr>
              <w:t>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p>
        </w:tc>
      </w:tr>
      <w:tr w:rsidR="006101CE" w:rsidRPr="003B2350" w14:paraId="784A0B4F" w14:textId="77777777" w:rsidTr="006D6E1C">
        <w:tc>
          <w:tcPr>
            <w:tcW w:w="2280" w:type="dxa"/>
          </w:tcPr>
          <w:p w14:paraId="525AF301"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06294509" w14:textId="3F927C45"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1.600.000,00 </w:t>
            </w:r>
            <w:r w:rsidR="007D276C">
              <w:rPr>
                <w:rFonts w:ascii="Times New Roman" w:hAnsi="Times New Roman" w:cs="Times New Roman"/>
                <w:bCs/>
                <w:color w:val="000000"/>
                <w:sz w:val="24"/>
                <w:szCs w:val="24"/>
                <w:lang w:val="sr-Cyrl-RS"/>
              </w:rPr>
              <w:t>дин</w:t>
            </w:r>
          </w:p>
        </w:tc>
      </w:tr>
      <w:tr w:rsidR="006101CE" w:rsidRPr="003B2350" w14:paraId="552FA848" w14:textId="77777777" w:rsidTr="006D6E1C">
        <w:tc>
          <w:tcPr>
            <w:tcW w:w="2280" w:type="dxa"/>
          </w:tcPr>
          <w:p w14:paraId="6A9BD767"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lang w:val="sr-Cyrl-RS"/>
              </w:rPr>
            </w:pPr>
            <w:r w:rsidRPr="003B2350">
              <w:rPr>
                <w:rFonts w:ascii="Times New Roman" w:hAnsi="Times New Roman" w:cs="Times New Roman"/>
                <w:b/>
                <w:bCs/>
                <w:color w:val="000000"/>
                <w:sz w:val="24"/>
                <w:szCs w:val="24"/>
                <w:lang w:val="sr-Cyrl-RS"/>
              </w:rPr>
              <w:t>Пројекат бр.13</w:t>
            </w:r>
          </w:p>
        </w:tc>
        <w:tc>
          <w:tcPr>
            <w:tcW w:w="6963" w:type="dxa"/>
          </w:tcPr>
          <w:p w14:paraId="77A37796"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p>
        </w:tc>
      </w:tr>
      <w:tr w:rsidR="006101CE" w:rsidRPr="003B2350" w14:paraId="6F140B0E" w14:textId="77777777" w:rsidTr="006D6E1C">
        <w:tc>
          <w:tcPr>
            <w:tcW w:w="2280" w:type="dxa"/>
          </w:tcPr>
          <w:p w14:paraId="2057B67D" w14:textId="6FEF7B4A"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а.</w:t>
            </w:r>
            <w:r w:rsidRPr="003B2350">
              <w:rPr>
                <w:rFonts w:ascii="Times New Roman" w:hAnsi="Times New Roman" w:cs="Times New Roman"/>
                <w:b/>
                <w:bCs/>
                <w:color w:val="000000"/>
                <w:sz w:val="24"/>
                <w:szCs w:val="24"/>
              </w:rPr>
              <w:t xml:space="preserve"> </w:t>
            </w:r>
            <w:r w:rsidRPr="003B2350">
              <w:rPr>
                <w:rFonts w:ascii="Times New Roman" w:hAnsi="Times New Roman" w:cs="Times New Roman"/>
                <w:bCs/>
                <w:color w:val="000000"/>
                <w:sz w:val="24"/>
                <w:szCs w:val="24"/>
              </w:rPr>
              <w:t>Приоритетн</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 xml:space="preserve"> тем</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/област;</w:t>
            </w:r>
          </w:p>
        </w:tc>
        <w:tc>
          <w:tcPr>
            <w:tcW w:w="6963" w:type="dxa"/>
          </w:tcPr>
          <w:p w14:paraId="55711A8A" w14:textId="0481FE4C"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 xml:space="preserve">Приоритет 3.3 </w:t>
            </w:r>
            <w:r w:rsidR="007D276C">
              <w:rPr>
                <w:rFonts w:ascii="Times New Roman" w:hAnsi="Times New Roman" w:cs="Times New Roman"/>
                <w:bCs/>
                <w:sz w:val="24"/>
                <w:szCs w:val="24"/>
                <w:lang w:val="sr-Cyrl-RS"/>
              </w:rPr>
              <w:t>–</w:t>
            </w:r>
            <w:r w:rsidRPr="003B2350">
              <w:rPr>
                <w:rFonts w:ascii="Times New Roman" w:hAnsi="Times New Roman" w:cs="Times New Roman"/>
                <w:bCs/>
                <w:sz w:val="24"/>
                <w:szCs w:val="24"/>
                <w:lang w:val="sr-Cyrl-RS"/>
              </w:rPr>
              <w:t xml:space="preserve"> Очување традиције и културне баштине</w:t>
            </w:r>
          </w:p>
        </w:tc>
      </w:tr>
      <w:tr w:rsidR="006101CE" w:rsidRPr="003B2350" w14:paraId="3946E3B8" w14:textId="77777777" w:rsidTr="006D6E1C">
        <w:tc>
          <w:tcPr>
            <w:tcW w:w="2280" w:type="dxa"/>
          </w:tcPr>
          <w:p w14:paraId="6EF8F9A4"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б. Циљ; </w:t>
            </w:r>
          </w:p>
        </w:tc>
        <w:tc>
          <w:tcPr>
            <w:tcW w:w="6963" w:type="dxa"/>
          </w:tcPr>
          <w:p w14:paraId="6E9DDD7D" w14:textId="034AFA38" w:rsidR="006101CE" w:rsidRPr="003B2350" w:rsidRDefault="006101CE" w:rsidP="006101CE">
            <w:pPr>
              <w:rPr>
                <w:rFonts w:ascii="Times New Roman" w:hAnsi="Times New Roman" w:cs="Times New Roman"/>
                <w:bCs/>
                <w:sz w:val="24"/>
                <w:szCs w:val="24"/>
                <w:lang w:val="sr-Cyrl-RS"/>
              </w:rPr>
            </w:pPr>
            <w:r w:rsidRPr="003B2350">
              <w:rPr>
                <w:rFonts w:ascii="Times New Roman" w:hAnsi="Times New Roman" w:cs="Times New Roman"/>
                <w:bCs/>
                <w:sz w:val="24"/>
                <w:szCs w:val="24"/>
                <w:lang w:val="sr-Cyrl-RS"/>
              </w:rPr>
              <w:t>ЦИЉ. 3</w:t>
            </w:r>
            <w:r w:rsidR="007D276C">
              <w:rPr>
                <w:rFonts w:ascii="Times New Roman" w:hAnsi="Times New Roman" w:cs="Times New Roman"/>
                <w:bCs/>
                <w:sz w:val="24"/>
                <w:szCs w:val="24"/>
                <w:lang w:val="sr-Cyrl-RS"/>
              </w:rPr>
              <w:t xml:space="preserve"> – </w:t>
            </w:r>
            <w:r w:rsidRPr="003B2350">
              <w:rPr>
                <w:rFonts w:ascii="Times New Roman" w:hAnsi="Times New Roman" w:cs="Times New Roman"/>
                <w:bCs/>
                <w:sz w:val="24"/>
                <w:szCs w:val="24"/>
              </w:rPr>
              <w:t>Одрживи развој руралних подручја</w:t>
            </w:r>
          </w:p>
        </w:tc>
      </w:tr>
      <w:tr w:rsidR="006101CE" w:rsidRPr="003B2350" w14:paraId="71B471CD" w14:textId="77777777" w:rsidTr="006D6E1C">
        <w:tc>
          <w:tcPr>
            <w:tcW w:w="2280" w:type="dxa"/>
          </w:tcPr>
          <w:p w14:paraId="706B0689" w14:textId="77777777" w:rsidR="00F81019" w:rsidRDefault="006101CE" w:rsidP="006101CE">
            <w:pPr>
              <w:autoSpaceDE w:val="0"/>
              <w:autoSpaceDN w:val="0"/>
              <w:adjustRightInd w:val="0"/>
              <w:rPr>
                <w:rFonts w:ascii="Times New Roman" w:hAnsi="Times New Roman" w:cs="Times New Roman"/>
                <w:bCs/>
                <w:color w:val="000000"/>
                <w:sz w:val="24"/>
                <w:szCs w:val="24"/>
              </w:rPr>
            </w:pPr>
            <w:r w:rsidRPr="003B2350">
              <w:rPr>
                <w:rFonts w:ascii="Times New Roman" w:hAnsi="Times New Roman" w:cs="Times New Roman"/>
                <w:bCs/>
                <w:color w:val="000000"/>
                <w:sz w:val="24"/>
                <w:szCs w:val="24"/>
              </w:rPr>
              <w:t>в. Назив активности/</w:t>
            </w:r>
          </w:p>
          <w:p w14:paraId="6F9AE57A" w14:textId="46D4E53C"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пројекта </w:t>
            </w:r>
          </w:p>
        </w:tc>
        <w:tc>
          <w:tcPr>
            <w:tcW w:w="6963" w:type="dxa"/>
          </w:tcPr>
          <w:p w14:paraId="24627F25"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Одржво коришчење и заштита културне баштине</w:t>
            </w:r>
          </w:p>
        </w:tc>
      </w:tr>
      <w:tr w:rsidR="006101CE" w:rsidRPr="003B2350" w14:paraId="6F1BE7EA" w14:textId="77777777" w:rsidTr="006D6E1C">
        <w:tc>
          <w:tcPr>
            <w:tcW w:w="2280" w:type="dxa"/>
          </w:tcPr>
          <w:p w14:paraId="327EAAA1"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г. Време реализације;</w:t>
            </w:r>
          </w:p>
        </w:tc>
        <w:tc>
          <w:tcPr>
            <w:tcW w:w="6963" w:type="dxa"/>
          </w:tcPr>
          <w:p w14:paraId="40649E5B" w14:textId="77777777"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2021-2023</w:t>
            </w:r>
          </w:p>
        </w:tc>
      </w:tr>
      <w:tr w:rsidR="006101CE" w:rsidRPr="003B2350" w14:paraId="738A378C" w14:textId="77777777" w:rsidTr="006D6E1C">
        <w:tc>
          <w:tcPr>
            <w:tcW w:w="2280" w:type="dxa"/>
          </w:tcPr>
          <w:p w14:paraId="1C9CFA90"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д. Потенцијалн</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корисни</w:t>
            </w:r>
            <w:r w:rsidRPr="003B2350">
              <w:rPr>
                <w:rFonts w:ascii="Times New Roman" w:hAnsi="Times New Roman" w:cs="Times New Roman"/>
                <w:bCs/>
                <w:color w:val="000000"/>
                <w:sz w:val="24"/>
                <w:szCs w:val="24"/>
                <w:lang w:val="sr-Cyrl-RS"/>
              </w:rPr>
              <w:t>ци</w:t>
            </w:r>
            <w:r w:rsidRPr="003B2350">
              <w:rPr>
                <w:rFonts w:ascii="Times New Roman" w:hAnsi="Times New Roman" w:cs="Times New Roman"/>
                <w:bCs/>
                <w:color w:val="000000"/>
                <w:sz w:val="24"/>
                <w:szCs w:val="24"/>
              </w:rPr>
              <w:t xml:space="preserve"> и подршк</w:t>
            </w:r>
            <w:r w:rsidRPr="003B2350">
              <w:rPr>
                <w:rFonts w:ascii="Times New Roman" w:hAnsi="Times New Roman" w:cs="Times New Roman"/>
                <w:bCs/>
                <w:color w:val="000000"/>
                <w:sz w:val="24"/>
                <w:szCs w:val="24"/>
                <w:lang w:val="sr-Cyrl-RS"/>
              </w:rPr>
              <w:t>а</w:t>
            </w:r>
            <w:r w:rsidRPr="003B2350">
              <w:rPr>
                <w:rFonts w:ascii="Times New Roman" w:hAnsi="Times New Roman" w:cs="Times New Roman"/>
                <w:bCs/>
                <w:color w:val="000000"/>
                <w:sz w:val="24"/>
                <w:szCs w:val="24"/>
              </w:rPr>
              <w:t>;</w:t>
            </w:r>
          </w:p>
        </w:tc>
        <w:tc>
          <w:tcPr>
            <w:tcW w:w="6963" w:type="dxa"/>
          </w:tcPr>
          <w:p w14:paraId="4D453835" w14:textId="44E4358D"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Становништво, </w:t>
            </w:r>
            <w:r w:rsidR="00F81019">
              <w:rPr>
                <w:rFonts w:ascii="Times New Roman" w:hAnsi="Times New Roman" w:cs="Times New Roman"/>
                <w:bCs/>
                <w:color w:val="000000"/>
                <w:sz w:val="24"/>
                <w:szCs w:val="24"/>
                <w:lang w:val="sr-Cyrl-RS"/>
              </w:rPr>
              <w:t>ш</w:t>
            </w:r>
            <w:r w:rsidRPr="003B2350">
              <w:rPr>
                <w:rFonts w:ascii="Times New Roman" w:hAnsi="Times New Roman" w:cs="Times New Roman"/>
                <w:bCs/>
                <w:color w:val="000000"/>
                <w:sz w:val="24"/>
                <w:szCs w:val="24"/>
                <w:lang w:val="sr-Cyrl-RS"/>
              </w:rPr>
              <w:t>коле,</w:t>
            </w:r>
            <w:r w:rsidR="00F81019">
              <w:rPr>
                <w:rFonts w:ascii="Times New Roman" w:hAnsi="Times New Roman" w:cs="Times New Roman"/>
                <w:bCs/>
                <w:color w:val="000000"/>
                <w:sz w:val="24"/>
                <w:szCs w:val="24"/>
                <w:lang w:val="sr-Cyrl-RS"/>
              </w:rPr>
              <w:t xml:space="preserve"> и</w:t>
            </w:r>
            <w:r w:rsidRPr="003B2350">
              <w:rPr>
                <w:rFonts w:ascii="Times New Roman" w:hAnsi="Times New Roman" w:cs="Times New Roman"/>
                <w:bCs/>
                <w:color w:val="000000"/>
                <w:sz w:val="24"/>
                <w:szCs w:val="24"/>
                <w:lang w:val="sr-Cyrl-RS"/>
              </w:rPr>
              <w:t xml:space="preserve">нституције, привредници </w:t>
            </w:r>
            <w:r w:rsidR="00F81019">
              <w:rPr>
                <w:rFonts w:ascii="Times New Roman" w:hAnsi="Times New Roman" w:cs="Times New Roman"/>
                <w:bCs/>
                <w:color w:val="000000"/>
                <w:sz w:val="24"/>
                <w:szCs w:val="24"/>
                <w:lang w:val="sr-Cyrl-RS"/>
              </w:rPr>
              <w:t>у</w:t>
            </w:r>
            <w:r w:rsidRPr="003B2350">
              <w:rPr>
                <w:rFonts w:ascii="Times New Roman" w:hAnsi="Times New Roman" w:cs="Times New Roman"/>
                <w:bCs/>
                <w:color w:val="000000"/>
                <w:sz w:val="24"/>
                <w:szCs w:val="24"/>
                <w:lang w:val="sr-Cyrl-RS"/>
              </w:rPr>
              <w:t>дружења, Л</w:t>
            </w:r>
            <w:r w:rsidR="00F81019">
              <w:rPr>
                <w:rFonts w:ascii="Times New Roman" w:hAnsi="Times New Roman" w:cs="Times New Roman"/>
                <w:bCs/>
                <w:color w:val="000000"/>
                <w:sz w:val="24"/>
                <w:szCs w:val="24"/>
                <w:lang w:val="sr-Cyrl-RS"/>
              </w:rPr>
              <w:t>АГ</w:t>
            </w:r>
            <w:r w:rsidRPr="003B2350">
              <w:rPr>
                <w:rFonts w:ascii="Times New Roman" w:hAnsi="Times New Roman" w:cs="Times New Roman"/>
                <w:bCs/>
                <w:color w:val="000000"/>
                <w:sz w:val="24"/>
                <w:szCs w:val="24"/>
                <w:lang w:val="sr-Cyrl-RS"/>
              </w:rPr>
              <w:t>, ЈЛС</w:t>
            </w:r>
          </w:p>
        </w:tc>
      </w:tr>
      <w:tr w:rsidR="006101CE" w:rsidRPr="003B2350" w14:paraId="1477124C" w14:textId="77777777" w:rsidTr="006D6E1C">
        <w:tc>
          <w:tcPr>
            <w:tcW w:w="2280" w:type="dxa"/>
          </w:tcPr>
          <w:p w14:paraId="1881DE16"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ђ. Извор</w:t>
            </w:r>
            <w:r w:rsidRPr="003B2350">
              <w:rPr>
                <w:rFonts w:ascii="Times New Roman" w:hAnsi="Times New Roman" w:cs="Times New Roman"/>
                <w:bCs/>
                <w:color w:val="000000"/>
                <w:sz w:val="24"/>
                <w:szCs w:val="24"/>
                <w:lang w:val="sr-Cyrl-RS"/>
              </w:rPr>
              <w:t>и</w:t>
            </w:r>
            <w:r w:rsidRPr="003B2350">
              <w:rPr>
                <w:rFonts w:ascii="Times New Roman" w:hAnsi="Times New Roman" w:cs="Times New Roman"/>
                <w:bCs/>
                <w:color w:val="000000"/>
                <w:sz w:val="24"/>
                <w:szCs w:val="24"/>
              </w:rPr>
              <w:t xml:space="preserve"> финансирања;</w:t>
            </w:r>
          </w:p>
        </w:tc>
        <w:tc>
          <w:tcPr>
            <w:tcW w:w="6963" w:type="dxa"/>
          </w:tcPr>
          <w:p w14:paraId="4931BEF1" w14:textId="1CD01C51"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rPr>
              <w:t xml:space="preserve">ЛИДЕР Програм, </w:t>
            </w:r>
            <w:r w:rsidR="00F81019">
              <w:rPr>
                <w:rFonts w:ascii="Times New Roman" w:hAnsi="Times New Roman" w:cs="Times New Roman"/>
                <w:bCs/>
                <w:color w:val="000000"/>
                <w:sz w:val="24"/>
                <w:szCs w:val="24"/>
                <w:lang w:val="sr-Cyrl-RS"/>
              </w:rPr>
              <w:t>д</w:t>
            </w:r>
            <w:r w:rsidRPr="003B2350">
              <w:rPr>
                <w:rFonts w:ascii="Times New Roman" w:hAnsi="Times New Roman" w:cs="Times New Roman"/>
                <w:bCs/>
                <w:color w:val="000000"/>
                <w:sz w:val="24"/>
                <w:szCs w:val="24"/>
                <w:lang w:val="sr-Cyrl-RS"/>
              </w:rPr>
              <w:t>онатори,</w:t>
            </w:r>
            <w:r w:rsidRPr="003B2350">
              <w:rPr>
                <w:rFonts w:ascii="Times New Roman" w:hAnsi="Times New Roman" w:cs="Times New Roman"/>
                <w:bCs/>
                <w:color w:val="000000"/>
                <w:sz w:val="24"/>
                <w:szCs w:val="24"/>
              </w:rPr>
              <w:t xml:space="preserve"> </w:t>
            </w:r>
            <w:r w:rsidRPr="003B2350">
              <w:rPr>
                <w:rFonts w:ascii="Times New Roman" w:hAnsi="Times New Roman" w:cs="Times New Roman"/>
                <w:bCs/>
                <w:color w:val="000000"/>
                <w:sz w:val="24"/>
                <w:szCs w:val="24"/>
                <w:lang w:val="sr-Cyrl-RS"/>
              </w:rPr>
              <w:t>ЈЛС, други извори</w:t>
            </w:r>
            <w:r w:rsidRPr="003B2350">
              <w:rPr>
                <w:rFonts w:ascii="Times New Roman" w:hAnsi="Times New Roman" w:cs="Times New Roman"/>
                <w:bCs/>
                <w:color w:val="000000"/>
                <w:sz w:val="24"/>
                <w:szCs w:val="24"/>
              </w:rPr>
              <w:t xml:space="preserve"> </w:t>
            </w:r>
          </w:p>
        </w:tc>
      </w:tr>
      <w:tr w:rsidR="006101CE" w:rsidRPr="003B2350" w14:paraId="540DB720" w14:textId="77777777" w:rsidTr="006D6E1C">
        <w:tc>
          <w:tcPr>
            <w:tcW w:w="2280" w:type="dxa"/>
          </w:tcPr>
          <w:p w14:paraId="3705B2EB" w14:textId="77777777" w:rsidR="006101CE" w:rsidRPr="003B2350" w:rsidRDefault="006101CE" w:rsidP="006101CE">
            <w:pPr>
              <w:autoSpaceDE w:val="0"/>
              <w:autoSpaceDN w:val="0"/>
              <w:adjustRightInd w:val="0"/>
              <w:rPr>
                <w:rFonts w:ascii="Times New Roman" w:hAnsi="Times New Roman" w:cs="Times New Roman"/>
                <w:b/>
                <w:bCs/>
                <w:color w:val="000000"/>
                <w:sz w:val="24"/>
                <w:szCs w:val="24"/>
              </w:rPr>
            </w:pPr>
            <w:r w:rsidRPr="003B2350">
              <w:rPr>
                <w:rFonts w:ascii="Times New Roman" w:hAnsi="Times New Roman" w:cs="Times New Roman"/>
                <w:bCs/>
                <w:color w:val="000000"/>
                <w:sz w:val="24"/>
                <w:szCs w:val="24"/>
              </w:rPr>
              <w:t xml:space="preserve">е. Вредност пројекта. </w:t>
            </w:r>
          </w:p>
        </w:tc>
        <w:tc>
          <w:tcPr>
            <w:tcW w:w="6963" w:type="dxa"/>
          </w:tcPr>
          <w:p w14:paraId="70ADBBE2" w14:textId="452BFE16" w:rsidR="006101CE" w:rsidRPr="003B2350" w:rsidRDefault="006101CE" w:rsidP="006101CE">
            <w:pPr>
              <w:autoSpaceDE w:val="0"/>
              <w:autoSpaceDN w:val="0"/>
              <w:adjustRightInd w:val="0"/>
              <w:rPr>
                <w:rFonts w:ascii="Times New Roman" w:hAnsi="Times New Roman" w:cs="Times New Roman"/>
                <w:bCs/>
                <w:color w:val="000000"/>
                <w:sz w:val="24"/>
                <w:szCs w:val="24"/>
                <w:lang w:val="sr-Cyrl-RS"/>
              </w:rPr>
            </w:pPr>
            <w:r w:rsidRPr="003B2350">
              <w:rPr>
                <w:rFonts w:ascii="Times New Roman" w:hAnsi="Times New Roman" w:cs="Times New Roman"/>
                <w:bCs/>
                <w:color w:val="000000"/>
                <w:sz w:val="24"/>
                <w:szCs w:val="24"/>
                <w:lang w:val="sr-Cyrl-RS"/>
              </w:rPr>
              <w:t xml:space="preserve">2.200.000,00 </w:t>
            </w:r>
            <w:r w:rsidR="00F81019">
              <w:rPr>
                <w:rFonts w:ascii="Times New Roman" w:hAnsi="Times New Roman" w:cs="Times New Roman"/>
                <w:bCs/>
                <w:color w:val="000000"/>
                <w:sz w:val="24"/>
                <w:szCs w:val="24"/>
                <w:lang w:val="sr-Cyrl-RS"/>
              </w:rPr>
              <w:t>дин</w:t>
            </w:r>
          </w:p>
        </w:tc>
      </w:tr>
    </w:tbl>
    <w:p w14:paraId="2D37215D" w14:textId="77777777" w:rsidR="006101CE" w:rsidRDefault="006101CE" w:rsidP="006101CE">
      <w:pPr>
        <w:rPr>
          <w:rFonts w:ascii="Times New Roman" w:hAnsi="Times New Roman" w:cs="Times New Roman"/>
          <w:b/>
          <w:sz w:val="24"/>
          <w:szCs w:val="24"/>
          <w:lang w:val="sr-Cyrl-RS"/>
        </w:rPr>
      </w:pPr>
    </w:p>
    <w:p w14:paraId="3707C55A" w14:textId="6470BD6E" w:rsidR="006101CE" w:rsidRDefault="00E04C7B" w:rsidP="00E04C7B">
      <w:pPr>
        <w:pStyle w:val="-2"/>
      </w:pPr>
      <w:bookmarkStart w:id="44" w:name="_Toc55208050"/>
      <w:r>
        <w:rPr>
          <w:lang w:val="sr-Latn-RS"/>
        </w:rPr>
        <w:t>a</w:t>
      </w:r>
      <w:r w:rsidR="007D276C">
        <w:t>.</w:t>
      </w:r>
      <w:r>
        <w:rPr>
          <w:lang w:val="sr-Latn-RS"/>
        </w:rPr>
        <w:t xml:space="preserve"> </w:t>
      </w:r>
      <w:r w:rsidR="006101CE" w:rsidRPr="006E3133">
        <w:t>Начин</w:t>
      </w:r>
      <w:r>
        <w:t xml:space="preserve"> </w:t>
      </w:r>
      <w:r w:rsidR="006101CE" w:rsidRPr="006E3133">
        <w:t>спровођења Локалне стратегије руралног развоја и праћења имплементације приоритетних пројеката;</w:t>
      </w:r>
      <w:bookmarkEnd w:id="44"/>
    </w:p>
    <w:p w14:paraId="7E988F18" w14:textId="77777777" w:rsidR="00E04C7B" w:rsidRDefault="006101CE" w:rsidP="00E04C7B">
      <w:pPr>
        <w:pStyle w:val="Tekst-1"/>
      </w:pPr>
      <w:r>
        <w:t>У циљу реализације</w:t>
      </w:r>
      <w:r w:rsidRPr="006E3133">
        <w:t xml:space="preserve"> пројеката припремиће се и објавити  јавни</w:t>
      </w:r>
      <w:r>
        <w:t xml:space="preserve"> позиви</w:t>
      </w:r>
      <w:r w:rsidR="00E04C7B">
        <w:t xml:space="preserve"> –</w:t>
      </w:r>
      <w:r w:rsidRPr="006E3133">
        <w:t xml:space="preserve"> конкурс</w:t>
      </w:r>
      <w:r>
        <w:t>и</w:t>
      </w:r>
      <w:r w:rsidRPr="006E3133">
        <w:t xml:space="preserve"> за заитересоване становнике Партнерства</w:t>
      </w:r>
      <w:r>
        <w:t>.</w:t>
      </w:r>
      <w:r w:rsidRPr="006E3133">
        <w:t xml:space="preserve"> </w:t>
      </w:r>
      <w:r>
        <w:t>О</w:t>
      </w:r>
      <w:r w:rsidRPr="006E3133">
        <w:t>рганозоваће се инфо састанци и стручне консултације по питањима испуњавања образаца и прикупљању додатне документације за конкурисање.</w:t>
      </w:r>
    </w:p>
    <w:p w14:paraId="5AD73ABB" w14:textId="77777777" w:rsidR="007D276C" w:rsidRDefault="006101CE" w:rsidP="007D276C">
      <w:pPr>
        <w:pStyle w:val="Tekst-1"/>
        <w:rPr>
          <w:rFonts w:eastAsia="Times New Roman"/>
          <w:bCs/>
          <w:szCs w:val="24"/>
        </w:rPr>
      </w:pPr>
      <w:r>
        <w:rPr>
          <w:rFonts w:eastAsia="Times New Roman"/>
          <w:bCs/>
          <w:szCs w:val="24"/>
        </w:rPr>
        <w:t>За едукативне програме  изабраће се стручни тим</w:t>
      </w:r>
      <w:r w:rsidRPr="006E3133">
        <w:rPr>
          <w:rFonts w:eastAsia="Times New Roman"/>
          <w:bCs/>
          <w:szCs w:val="24"/>
        </w:rPr>
        <w:t xml:space="preserve"> који ће у свој састав д</w:t>
      </w:r>
      <w:r>
        <w:rPr>
          <w:rFonts w:eastAsia="Times New Roman"/>
          <w:bCs/>
          <w:szCs w:val="24"/>
        </w:rPr>
        <w:t>а има релевантне и  стручњаке за дате области</w:t>
      </w:r>
      <w:r w:rsidRPr="006E3133">
        <w:rPr>
          <w:rFonts w:eastAsia="Times New Roman"/>
          <w:bCs/>
          <w:szCs w:val="24"/>
        </w:rPr>
        <w:t>.</w:t>
      </w:r>
    </w:p>
    <w:p w14:paraId="1461309F" w14:textId="60811F20" w:rsidR="006101CE" w:rsidRPr="007D276C" w:rsidRDefault="007D276C" w:rsidP="007D276C">
      <w:pPr>
        <w:pStyle w:val="-2"/>
      </w:pPr>
      <w:bookmarkStart w:id="45" w:name="_Toc55208051"/>
      <w:r>
        <w:t>б.</w:t>
      </w:r>
      <w:r w:rsidR="00E04C7B">
        <w:rPr>
          <w:lang w:val="sr-Latn-RS"/>
        </w:rPr>
        <w:t xml:space="preserve"> </w:t>
      </w:r>
      <w:r w:rsidR="006101CE" w:rsidRPr="00A2074C">
        <w:t>Индикатор</w:t>
      </w:r>
      <w:r>
        <w:t>и</w:t>
      </w:r>
      <w:r w:rsidR="006101CE" w:rsidRPr="00A2074C">
        <w:t xml:space="preserve"> за мерење учинка спровођења Локалне стратегије руралног развоја</w:t>
      </w:r>
      <w:bookmarkEnd w:id="45"/>
    </w:p>
    <w:p w14:paraId="6F930CE4" w14:textId="77777777" w:rsidR="006101CE" w:rsidRDefault="006101CE" w:rsidP="007D276C">
      <w:pPr>
        <w:pStyle w:val="Tekst-1"/>
      </w:pPr>
      <w:r w:rsidRPr="00A2074C">
        <w:t xml:space="preserve">Индикатори на нивоу циљева представљају квантитативне и квалитативне показатеље за </w:t>
      </w:r>
      <w:r>
        <w:t xml:space="preserve">мерење учинка. </w:t>
      </w:r>
    </w:p>
    <w:p w14:paraId="5B38199D" w14:textId="12821FA1" w:rsidR="00DF022A" w:rsidRPr="00DF022A" w:rsidRDefault="006101CE" w:rsidP="00DF022A">
      <w:pPr>
        <w:pStyle w:val="a0"/>
      </w:pPr>
      <w:r>
        <w:t xml:space="preserve"> </w:t>
      </w:r>
      <w:r w:rsidR="00DF022A">
        <w:t>Т</w:t>
      </w:r>
      <w:r w:rsidRPr="00A2074C">
        <w:t>абел</w:t>
      </w:r>
      <w:r w:rsidR="00DF022A">
        <w:t>а</w:t>
      </w:r>
      <w:r w:rsidR="00C66B80">
        <w:t xml:space="preserve"> 14.</w:t>
      </w:r>
      <w:r w:rsidR="00DF022A">
        <w:t xml:space="preserve"> П</w:t>
      </w:r>
      <w:r w:rsidRPr="00A2074C">
        <w:t>реглед циљева са базн</w:t>
      </w:r>
      <w:r>
        <w:t>им и циљним показатељима</w:t>
      </w:r>
    </w:p>
    <w:tbl>
      <w:tblPr>
        <w:tblStyle w:val="TableGrid2"/>
        <w:tblW w:w="0" w:type="auto"/>
        <w:tblLook w:val="04A0" w:firstRow="1" w:lastRow="0" w:firstColumn="1" w:lastColumn="0" w:noHBand="0" w:noVBand="1"/>
      </w:tblPr>
      <w:tblGrid>
        <w:gridCol w:w="2673"/>
        <w:gridCol w:w="3865"/>
        <w:gridCol w:w="2479"/>
      </w:tblGrid>
      <w:tr w:rsidR="006101CE" w:rsidRPr="00A2074C" w14:paraId="375AF4A3" w14:textId="77777777" w:rsidTr="00DF022A">
        <w:tc>
          <w:tcPr>
            <w:tcW w:w="2673" w:type="dxa"/>
            <w:shd w:val="clear" w:color="auto" w:fill="9CC2E5" w:themeFill="accent5" w:themeFillTint="99"/>
          </w:tcPr>
          <w:p w14:paraId="4B75E688" w14:textId="77777777" w:rsidR="006101CE" w:rsidRPr="00A2074C" w:rsidRDefault="006101CE" w:rsidP="006101CE">
            <w:pPr>
              <w:autoSpaceDE w:val="0"/>
              <w:autoSpaceDN w:val="0"/>
              <w:adjustRightInd w:val="0"/>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rPr>
              <w:t xml:space="preserve">Циљ </w:t>
            </w:r>
            <w:r>
              <w:rPr>
                <w:rFonts w:ascii="Times New Roman" w:hAnsi="Times New Roman" w:cs="Times New Roman"/>
                <w:b/>
                <w:bCs/>
                <w:color w:val="000000"/>
                <w:sz w:val="24"/>
                <w:szCs w:val="24"/>
                <w:lang w:val="sr-Cyrl-RS"/>
              </w:rPr>
              <w:t>–</w:t>
            </w:r>
            <w:r w:rsidRPr="00A2074C">
              <w:rPr>
                <w:rFonts w:ascii="Times New Roman" w:hAnsi="Times New Roman" w:cs="Times New Roman"/>
                <w:b/>
                <w:bCs/>
                <w:color w:val="000000"/>
                <w:sz w:val="24"/>
                <w:szCs w:val="24"/>
              </w:rPr>
              <w:t xml:space="preserve"> 2023</w:t>
            </w:r>
            <w:r>
              <w:rPr>
                <w:rFonts w:ascii="Times New Roman" w:hAnsi="Times New Roman" w:cs="Times New Roman"/>
                <w:b/>
                <w:bCs/>
                <w:color w:val="000000"/>
                <w:sz w:val="24"/>
                <w:szCs w:val="24"/>
                <w:lang w:val="sr-Cyrl-RS"/>
              </w:rPr>
              <w:t xml:space="preserve"> година</w:t>
            </w:r>
          </w:p>
        </w:tc>
        <w:tc>
          <w:tcPr>
            <w:tcW w:w="3865" w:type="dxa"/>
            <w:shd w:val="clear" w:color="auto" w:fill="9CC2E5" w:themeFill="accent5" w:themeFillTint="99"/>
          </w:tcPr>
          <w:p w14:paraId="0519D16B" w14:textId="77777777" w:rsidR="006101CE" w:rsidRPr="00A2074C" w:rsidRDefault="006101CE" w:rsidP="006101C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Cyrl-RS"/>
              </w:rPr>
              <w:t>И</w:t>
            </w:r>
            <w:r w:rsidRPr="00A2074C">
              <w:rPr>
                <w:rFonts w:ascii="Times New Roman" w:hAnsi="Times New Roman" w:cs="Times New Roman"/>
                <w:b/>
                <w:bCs/>
                <w:color w:val="000000"/>
                <w:sz w:val="24"/>
                <w:szCs w:val="24"/>
              </w:rPr>
              <w:t>ндикатор</w:t>
            </w:r>
          </w:p>
        </w:tc>
        <w:tc>
          <w:tcPr>
            <w:tcW w:w="2479" w:type="dxa"/>
            <w:shd w:val="clear" w:color="auto" w:fill="9CC2E5" w:themeFill="accent5" w:themeFillTint="99"/>
          </w:tcPr>
          <w:p w14:paraId="4A83A4ED" w14:textId="77777777" w:rsidR="006101CE" w:rsidRPr="00A2074C" w:rsidRDefault="006101CE" w:rsidP="006101CE">
            <w:pPr>
              <w:autoSpaceDE w:val="0"/>
              <w:autoSpaceDN w:val="0"/>
              <w:adjustRightInd w:val="0"/>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rPr>
              <w:t>Верифика</w:t>
            </w:r>
            <w:r>
              <w:rPr>
                <w:rFonts w:ascii="Times New Roman" w:hAnsi="Times New Roman" w:cs="Times New Roman"/>
                <w:b/>
                <w:bCs/>
                <w:color w:val="000000"/>
                <w:sz w:val="24"/>
                <w:szCs w:val="24"/>
                <w:lang w:val="sr-Cyrl-RS"/>
              </w:rPr>
              <w:t>ција</w:t>
            </w:r>
          </w:p>
        </w:tc>
      </w:tr>
      <w:tr w:rsidR="006101CE" w:rsidRPr="00A2074C" w14:paraId="219C2AB3" w14:textId="77777777" w:rsidTr="00DF022A">
        <w:tc>
          <w:tcPr>
            <w:tcW w:w="2673" w:type="dxa"/>
          </w:tcPr>
          <w:p w14:paraId="3767D134" w14:textId="05C941FD" w:rsidR="006101CE" w:rsidRPr="00A2074C" w:rsidRDefault="006101CE" w:rsidP="006101CE">
            <w:pPr>
              <w:rPr>
                <w:rFonts w:ascii="Times New Roman" w:hAnsi="Times New Roman" w:cs="Times New Roman"/>
                <w:sz w:val="24"/>
                <w:szCs w:val="24"/>
                <w:lang w:val="sr-Cyrl-RS"/>
              </w:rPr>
            </w:pPr>
            <w:r w:rsidRPr="00A2074C">
              <w:rPr>
                <w:rFonts w:ascii="Times New Roman" w:hAnsi="Times New Roman" w:cs="Times New Roman"/>
                <w:sz w:val="24"/>
                <w:szCs w:val="24"/>
                <w:lang w:val="sr-Cyrl-RS"/>
              </w:rPr>
              <w:t>1.</w:t>
            </w:r>
            <w:r w:rsidR="00DF022A">
              <w:rPr>
                <w:rFonts w:ascii="Times New Roman" w:hAnsi="Times New Roman" w:cs="Times New Roman"/>
                <w:sz w:val="24"/>
                <w:szCs w:val="24"/>
                <w:lang w:val="sr-Cyrl-RS"/>
              </w:rPr>
              <w:t xml:space="preserve"> </w:t>
            </w:r>
            <w:r w:rsidRPr="00A2074C">
              <w:rPr>
                <w:rFonts w:ascii="Times New Roman" w:hAnsi="Times New Roman" w:cs="Times New Roman"/>
                <w:sz w:val="24"/>
                <w:szCs w:val="24"/>
                <w:lang w:val="sr-Cyrl-RS"/>
              </w:rPr>
              <w:t xml:space="preserve">ЦИЉ </w:t>
            </w:r>
            <w:r w:rsidR="006C29EF">
              <w:rPr>
                <w:rFonts w:ascii="Times New Roman" w:hAnsi="Times New Roman" w:cs="Times New Roman"/>
                <w:sz w:val="24"/>
                <w:szCs w:val="24"/>
                <w:lang w:val="sr-Cyrl-RS"/>
              </w:rPr>
              <w:t xml:space="preserve">– </w:t>
            </w:r>
            <w:r w:rsidRPr="00A2074C">
              <w:rPr>
                <w:rFonts w:ascii="Times New Roman" w:hAnsi="Times New Roman" w:cs="Times New Roman"/>
                <w:sz w:val="24"/>
                <w:szCs w:val="24"/>
              </w:rPr>
              <w:t>Подизање капацитета привреде и јачање конкурентног пословног окружења</w:t>
            </w:r>
          </w:p>
          <w:p w14:paraId="24D19661" w14:textId="77777777" w:rsidR="006101CE" w:rsidRPr="00A2074C" w:rsidRDefault="006101CE" w:rsidP="006101CE">
            <w:pPr>
              <w:rPr>
                <w:rFonts w:ascii="Times New Roman" w:hAnsi="Times New Roman" w:cs="Times New Roman"/>
                <w:sz w:val="24"/>
                <w:szCs w:val="24"/>
              </w:rPr>
            </w:pPr>
          </w:p>
          <w:p w14:paraId="1782BC97" w14:textId="77777777" w:rsidR="006101CE" w:rsidRPr="00A2074C" w:rsidRDefault="006101CE" w:rsidP="006101CE">
            <w:pPr>
              <w:rPr>
                <w:rFonts w:ascii="Calibri" w:hAnsi="Calibri" w:cs="Times New Roman"/>
                <w:bCs/>
                <w:color w:val="FF0000"/>
              </w:rPr>
            </w:pPr>
          </w:p>
        </w:tc>
        <w:tc>
          <w:tcPr>
            <w:tcW w:w="3865" w:type="dxa"/>
          </w:tcPr>
          <w:p w14:paraId="0D89ACEC" w14:textId="77777777" w:rsidR="006101CE" w:rsidRPr="004B41B0" w:rsidRDefault="006101CE" w:rsidP="006C29EF">
            <w:pPr>
              <w:pStyle w:val="ListParagraph"/>
              <w:numPr>
                <w:ilvl w:val="0"/>
                <w:numId w:val="14"/>
              </w:numPr>
              <w:autoSpaceDE w:val="0"/>
              <w:autoSpaceDN w:val="0"/>
              <w:adjustRightInd w:val="0"/>
              <w:ind w:left="198" w:hanging="218"/>
              <w:rPr>
                <w:rFonts w:ascii="Times New Roman" w:hAnsi="Times New Roman" w:cs="Times New Roman"/>
                <w:bCs/>
                <w:color w:val="000000"/>
                <w:sz w:val="24"/>
                <w:szCs w:val="24"/>
                <w:lang w:val="sr-Cyrl-RS"/>
              </w:rPr>
            </w:pPr>
            <w:r w:rsidRPr="004B41B0">
              <w:rPr>
                <w:rFonts w:ascii="Times New Roman" w:hAnsi="Times New Roman" w:cs="Times New Roman"/>
                <w:bCs/>
                <w:color w:val="000000"/>
                <w:sz w:val="24"/>
                <w:szCs w:val="24"/>
                <w:lang w:val="sr-Cyrl-RS"/>
              </w:rPr>
              <w:t>П</w:t>
            </w:r>
            <w:r w:rsidRPr="004B41B0">
              <w:rPr>
                <w:rFonts w:ascii="Times New Roman" w:hAnsi="Times New Roman" w:cs="Times New Roman"/>
                <w:bCs/>
                <w:color w:val="000000"/>
                <w:sz w:val="24"/>
                <w:szCs w:val="24"/>
              </w:rPr>
              <w:t xml:space="preserve">редузећа, пољопривредна газдинства, задруге и невладине </w:t>
            </w:r>
            <w:r w:rsidRPr="004B41B0">
              <w:rPr>
                <w:rFonts w:ascii="Times New Roman" w:hAnsi="Times New Roman" w:cs="Times New Roman"/>
                <w:bCs/>
                <w:color w:val="000000"/>
                <w:sz w:val="24"/>
                <w:szCs w:val="24"/>
                <w:lang w:val="sr-Cyrl-RS"/>
              </w:rPr>
              <w:t>који су увели стандарде у производњу.</w:t>
            </w:r>
          </w:p>
          <w:p w14:paraId="75BB98D2" w14:textId="77777777" w:rsidR="006101CE" w:rsidRPr="004B41B0" w:rsidRDefault="006101CE" w:rsidP="006C29EF">
            <w:pPr>
              <w:pStyle w:val="ListParagraph"/>
              <w:numPr>
                <w:ilvl w:val="0"/>
                <w:numId w:val="14"/>
              </w:numPr>
              <w:autoSpaceDE w:val="0"/>
              <w:autoSpaceDN w:val="0"/>
              <w:adjustRightInd w:val="0"/>
              <w:ind w:left="198" w:hanging="218"/>
              <w:rPr>
                <w:rFonts w:ascii="Times New Roman" w:hAnsi="Times New Roman" w:cs="Times New Roman"/>
                <w:bCs/>
                <w:color w:val="000000"/>
                <w:sz w:val="24"/>
                <w:szCs w:val="24"/>
                <w:lang w:val="sr-Cyrl-RS"/>
              </w:rPr>
            </w:pPr>
            <w:r w:rsidRPr="004B41B0">
              <w:rPr>
                <w:rFonts w:ascii="Times New Roman" w:hAnsi="Times New Roman" w:cs="Times New Roman"/>
                <w:bCs/>
                <w:color w:val="000000"/>
                <w:sz w:val="24"/>
                <w:szCs w:val="24"/>
                <w:lang w:val="sr-Cyrl-RS"/>
              </w:rPr>
              <w:t xml:space="preserve">Број </w:t>
            </w:r>
            <w:r w:rsidRPr="006C29EF">
              <w:rPr>
                <w:rFonts w:ascii="Times New Roman" w:hAnsi="Times New Roman" w:cs="Times New Roman"/>
                <w:bCs/>
                <w:color w:val="000000"/>
                <w:sz w:val="24"/>
                <w:szCs w:val="24"/>
              </w:rPr>
              <w:t>склопљених</w:t>
            </w:r>
            <w:r w:rsidRPr="004B41B0">
              <w:rPr>
                <w:rFonts w:ascii="Times New Roman" w:hAnsi="Times New Roman" w:cs="Times New Roman"/>
                <w:bCs/>
                <w:color w:val="000000"/>
                <w:sz w:val="24"/>
                <w:szCs w:val="24"/>
                <w:lang w:val="sr-Cyrl-RS"/>
              </w:rPr>
              <w:t xml:space="preserve"> споразума између привреденика и пољопривредника,</w:t>
            </w:r>
          </w:p>
          <w:p w14:paraId="38E2AE3F" w14:textId="77777777" w:rsidR="006101CE" w:rsidRPr="006C29EF" w:rsidRDefault="006101CE" w:rsidP="006C29EF">
            <w:pPr>
              <w:pStyle w:val="ListParagraph"/>
              <w:numPr>
                <w:ilvl w:val="0"/>
                <w:numId w:val="14"/>
              </w:numPr>
              <w:autoSpaceDE w:val="0"/>
              <w:autoSpaceDN w:val="0"/>
              <w:adjustRightInd w:val="0"/>
              <w:ind w:left="198" w:hanging="218"/>
              <w:rPr>
                <w:rFonts w:ascii="Times New Roman" w:hAnsi="Times New Roman" w:cs="Times New Roman"/>
                <w:bCs/>
                <w:color w:val="000000"/>
                <w:sz w:val="24"/>
                <w:szCs w:val="24"/>
              </w:rPr>
            </w:pPr>
            <w:r w:rsidRPr="006C29EF">
              <w:rPr>
                <w:rFonts w:ascii="Times New Roman" w:hAnsi="Times New Roman" w:cs="Times New Roman"/>
                <w:bCs/>
                <w:color w:val="000000"/>
                <w:sz w:val="24"/>
                <w:szCs w:val="24"/>
              </w:rPr>
              <w:t>Број започетих иницијатива регионалне сарадње</w:t>
            </w:r>
          </w:p>
          <w:p w14:paraId="13E29CF5" w14:textId="67868D6E" w:rsidR="006101CE" w:rsidRPr="006C29EF" w:rsidRDefault="006101CE" w:rsidP="006101CE">
            <w:pPr>
              <w:pStyle w:val="ListParagraph"/>
              <w:numPr>
                <w:ilvl w:val="0"/>
                <w:numId w:val="14"/>
              </w:numPr>
              <w:autoSpaceDE w:val="0"/>
              <w:autoSpaceDN w:val="0"/>
              <w:adjustRightInd w:val="0"/>
              <w:ind w:left="198" w:hanging="218"/>
              <w:rPr>
                <w:rFonts w:ascii="Times New Roman" w:hAnsi="Times New Roman" w:cs="Times New Roman"/>
                <w:bCs/>
                <w:color w:val="000000"/>
                <w:sz w:val="24"/>
                <w:szCs w:val="24"/>
              </w:rPr>
            </w:pPr>
            <w:r w:rsidRPr="006C29EF">
              <w:rPr>
                <w:rFonts w:ascii="Times New Roman" w:hAnsi="Times New Roman" w:cs="Times New Roman"/>
                <w:bCs/>
                <w:color w:val="000000"/>
                <w:sz w:val="24"/>
                <w:szCs w:val="24"/>
              </w:rPr>
              <w:t xml:space="preserve">Број полазника </w:t>
            </w:r>
            <w:r w:rsidR="006C29EF">
              <w:rPr>
                <w:rFonts w:ascii="Times New Roman" w:hAnsi="Times New Roman" w:cs="Times New Roman"/>
                <w:bCs/>
                <w:color w:val="000000"/>
                <w:sz w:val="24"/>
                <w:szCs w:val="24"/>
                <w:lang w:val="sr-Cyrl-RS"/>
              </w:rPr>
              <w:t>с</w:t>
            </w:r>
            <w:r w:rsidRPr="006C29EF">
              <w:rPr>
                <w:rFonts w:ascii="Times New Roman" w:hAnsi="Times New Roman" w:cs="Times New Roman"/>
                <w:bCs/>
                <w:color w:val="000000"/>
                <w:sz w:val="24"/>
                <w:szCs w:val="24"/>
              </w:rPr>
              <w:t>пецијалистичких обука</w:t>
            </w:r>
          </w:p>
        </w:tc>
        <w:tc>
          <w:tcPr>
            <w:tcW w:w="2479" w:type="dxa"/>
          </w:tcPr>
          <w:p w14:paraId="77AC21DE" w14:textId="35B9C8F6" w:rsidR="006101CE" w:rsidRPr="00A2074C" w:rsidRDefault="006101CE" w:rsidP="006101CE">
            <w:pPr>
              <w:autoSpaceDE w:val="0"/>
              <w:autoSpaceDN w:val="0"/>
              <w:adjustRightInd w:val="0"/>
              <w:rPr>
                <w:rFonts w:ascii="Times New Roman" w:hAnsi="Times New Roman" w:cs="Times New Roman"/>
                <w:bCs/>
                <w:color w:val="000000"/>
                <w:sz w:val="24"/>
                <w:szCs w:val="24"/>
                <w:lang w:val="sr-Cyrl-RS"/>
              </w:rPr>
            </w:pPr>
            <w:r w:rsidRPr="00A2074C">
              <w:rPr>
                <w:rFonts w:ascii="Times New Roman" w:hAnsi="Times New Roman" w:cs="Times New Roman"/>
                <w:bCs/>
                <w:color w:val="000000"/>
                <w:sz w:val="24"/>
                <w:szCs w:val="24"/>
              </w:rPr>
              <w:t>Слике, рачу</w:t>
            </w:r>
            <w:r>
              <w:rPr>
                <w:rFonts w:ascii="Times New Roman" w:hAnsi="Times New Roman" w:cs="Times New Roman"/>
                <w:bCs/>
                <w:color w:val="000000"/>
                <w:sz w:val="24"/>
                <w:szCs w:val="24"/>
              </w:rPr>
              <w:t>ни</w:t>
            </w:r>
            <w:r>
              <w:rPr>
                <w:rFonts w:ascii="Times New Roman" w:hAnsi="Times New Roman" w:cs="Times New Roman"/>
                <w:bCs/>
                <w:color w:val="000000"/>
                <w:sz w:val="24"/>
                <w:szCs w:val="24"/>
                <w:lang w:val="sr-Cyrl-RS"/>
              </w:rPr>
              <w:t xml:space="preserve"> </w:t>
            </w:r>
            <w:r w:rsidRPr="00A2074C">
              <w:rPr>
                <w:rFonts w:ascii="Times New Roman" w:hAnsi="Times New Roman" w:cs="Times New Roman"/>
                <w:bCs/>
                <w:color w:val="000000"/>
                <w:sz w:val="24"/>
                <w:szCs w:val="24"/>
              </w:rPr>
              <w:t>сертификата</w:t>
            </w:r>
            <w:r>
              <w:rPr>
                <w:rFonts w:ascii="Times New Roman" w:hAnsi="Times New Roman" w:cs="Times New Roman"/>
                <w:bCs/>
                <w:color w:val="000000"/>
                <w:sz w:val="24"/>
                <w:szCs w:val="24"/>
                <w:lang w:val="sr-Cyrl-RS"/>
              </w:rPr>
              <w:t xml:space="preserve">, </w:t>
            </w:r>
            <w:r w:rsidR="006C29EF">
              <w:rPr>
                <w:rFonts w:ascii="Times New Roman" w:hAnsi="Times New Roman" w:cs="Times New Roman"/>
                <w:bCs/>
                <w:color w:val="000000"/>
                <w:sz w:val="24"/>
                <w:szCs w:val="24"/>
                <w:lang w:val="sr-Cyrl-RS"/>
              </w:rPr>
              <w:t>у</w:t>
            </w:r>
            <w:r>
              <w:rPr>
                <w:rFonts w:ascii="Times New Roman" w:hAnsi="Times New Roman" w:cs="Times New Roman"/>
                <w:bCs/>
                <w:color w:val="000000"/>
                <w:sz w:val="24"/>
                <w:szCs w:val="24"/>
                <w:lang w:val="sr-Cyrl-RS"/>
              </w:rPr>
              <w:t>говор,</w:t>
            </w:r>
            <w:r w:rsidR="006C29EF">
              <w:rPr>
                <w:rFonts w:ascii="Times New Roman" w:hAnsi="Times New Roman" w:cs="Times New Roman"/>
                <w:bCs/>
                <w:color w:val="000000"/>
                <w:sz w:val="24"/>
                <w:szCs w:val="24"/>
                <w:lang w:val="sr-Cyrl-RS"/>
              </w:rPr>
              <w:t xml:space="preserve"> с</w:t>
            </w:r>
            <w:r>
              <w:rPr>
                <w:rFonts w:ascii="Times New Roman" w:hAnsi="Times New Roman" w:cs="Times New Roman"/>
                <w:bCs/>
                <w:color w:val="000000"/>
                <w:sz w:val="24"/>
                <w:szCs w:val="24"/>
                <w:lang w:val="sr-Cyrl-RS"/>
              </w:rPr>
              <w:t>поразум</w:t>
            </w:r>
            <w:r w:rsidR="006C29EF">
              <w:rPr>
                <w:rFonts w:ascii="Times New Roman" w:hAnsi="Times New Roman" w:cs="Times New Roman"/>
                <w:bCs/>
                <w:color w:val="000000"/>
                <w:sz w:val="24"/>
                <w:szCs w:val="24"/>
                <w:lang w:val="sr-Cyrl-RS"/>
              </w:rPr>
              <w:t>,</w:t>
            </w:r>
            <w:r>
              <w:rPr>
                <w:rFonts w:ascii="Times New Roman" w:hAnsi="Times New Roman" w:cs="Times New Roman"/>
                <w:bCs/>
                <w:color w:val="000000"/>
                <w:sz w:val="24"/>
                <w:szCs w:val="24"/>
                <w:lang w:val="sr-Cyrl-RS"/>
              </w:rPr>
              <w:t xml:space="preserve"> дипломе, маркетинг кампање</w:t>
            </w:r>
          </w:p>
        </w:tc>
      </w:tr>
      <w:tr w:rsidR="006C29EF" w:rsidRPr="006C29EF" w14:paraId="5DECC467" w14:textId="77777777" w:rsidTr="00DF022A">
        <w:tc>
          <w:tcPr>
            <w:tcW w:w="2673" w:type="dxa"/>
          </w:tcPr>
          <w:p w14:paraId="7F1EE1FA" w14:textId="1292D55F" w:rsidR="006101CE" w:rsidRPr="006C29EF" w:rsidRDefault="006101CE" w:rsidP="006101CE">
            <w:pPr>
              <w:rPr>
                <w:rFonts w:ascii="Times New Roman" w:hAnsi="Times New Roman" w:cs="Times New Roman"/>
                <w:sz w:val="24"/>
                <w:szCs w:val="24"/>
                <w:lang w:val="sr-Cyrl-RS"/>
              </w:rPr>
            </w:pPr>
            <w:r w:rsidRPr="006C29EF">
              <w:rPr>
                <w:rFonts w:ascii="Times New Roman" w:hAnsi="Times New Roman" w:cs="Times New Roman"/>
                <w:b/>
                <w:sz w:val="24"/>
                <w:szCs w:val="24"/>
              </w:rPr>
              <w:t xml:space="preserve"> </w:t>
            </w:r>
            <w:r w:rsidRPr="006C29EF">
              <w:rPr>
                <w:rFonts w:ascii="Times New Roman" w:hAnsi="Times New Roman" w:cs="Times New Roman"/>
                <w:sz w:val="24"/>
                <w:szCs w:val="24"/>
                <w:lang w:val="sr-Cyrl-RS"/>
              </w:rPr>
              <w:t>2.</w:t>
            </w:r>
            <w:r w:rsidR="006C29EF" w:rsidRPr="006C29EF">
              <w:rPr>
                <w:rFonts w:ascii="Times New Roman" w:hAnsi="Times New Roman" w:cs="Times New Roman"/>
                <w:sz w:val="24"/>
                <w:szCs w:val="24"/>
                <w:lang w:val="sr-Cyrl-RS"/>
              </w:rPr>
              <w:t xml:space="preserve"> </w:t>
            </w:r>
            <w:r w:rsidRPr="006C29EF">
              <w:rPr>
                <w:rFonts w:ascii="Times New Roman" w:hAnsi="Times New Roman" w:cs="Times New Roman"/>
                <w:sz w:val="24"/>
                <w:szCs w:val="24"/>
                <w:lang w:val="sr-Cyrl-RS"/>
              </w:rPr>
              <w:t xml:space="preserve">ЦИЉ </w:t>
            </w:r>
            <w:r w:rsidR="006C29EF" w:rsidRPr="006C29EF">
              <w:rPr>
                <w:rFonts w:ascii="Times New Roman" w:hAnsi="Times New Roman" w:cs="Times New Roman"/>
                <w:sz w:val="24"/>
                <w:szCs w:val="24"/>
                <w:lang w:val="sr-Cyrl-RS"/>
              </w:rPr>
              <w:t>–</w:t>
            </w:r>
            <w:r w:rsidRPr="006C29EF">
              <w:rPr>
                <w:rFonts w:ascii="Times New Roman" w:hAnsi="Times New Roman" w:cs="Times New Roman"/>
                <w:sz w:val="24"/>
                <w:szCs w:val="24"/>
                <w:lang w:val="sr-Cyrl-RS"/>
              </w:rPr>
              <w:t xml:space="preserve"> Побољшање квалитета живота и подстицај непољопривредних делатности</w:t>
            </w:r>
          </w:p>
          <w:p w14:paraId="5ED02290" w14:textId="77777777" w:rsidR="006101CE" w:rsidRPr="006C29EF" w:rsidRDefault="006101CE" w:rsidP="006101CE">
            <w:pPr>
              <w:rPr>
                <w:rFonts w:ascii="Calibri" w:hAnsi="Calibri" w:cs="Times New Roman"/>
                <w:bCs/>
              </w:rPr>
            </w:pPr>
          </w:p>
        </w:tc>
        <w:tc>
          <w:tcPr>
            <w:tcW w:w="3865" w:type="dxa"/>
          </w:tcPr>
          <w:p w14:paraId="71CADA22" w14:textId="52D99C50" w:rsidR="006101CE" w:rsidRPr="006C29EF" w:rsidRDefault="006101CE" w:rsidP="006C29EF">
            <w:pPr>
              <w:pStyle w:val="ListParagraph"/>
              <w:numPr>
                <w:ilvl w:val="0"/>
                <w:numId w:val="14"/>
              </w:numPr>
              <w:autoSpaceDE w:val="0"/>
              <w:autoSpaceDN w:val="0"/>
              <w:adjustRightInd w:val="0"/>
              <w:ind w:left="198" w:hanging="218"/>
              <w:rPr>
                <w:rFonts w:ascii="Times New Roman" w:hAnsi="Times New Roman" w:cs="Times New Roman"/>
                <w:bCs/>
                <w:sz w:val="24"/>
                <w:szCs w:val="24"/>
              </w:rPr>
            </w:pPr>
            <w:r w:rsidRPr="006C29EF">
              <w:rPr>
                <w:rFonts w:ascii="Times New Roman" w:hAnsi="Times New Roman" w:cs="Times New Roman"/>
                <w:bCs/>
                <w:sz w:val="24"/>
                <w:szCs w:val="24"/>
              </w:rPr>
              <w:t xml:space="preserve">Невладине организације </w:t>
            </w:r>
            <w:r w:rsidR="006C29EF">
              <w:rPr>
                <w:rFonts w:ascii="Times New Roman" w:hAnsi="Times New Roman" w:cs="Times New Roman"/>
                <w:bCs/>
                <w:sz w:val="24"/>
                <w:szCs w:val="24"/>
                <w:lang w:val="sr-Cyrl-RS"/>
              </w:rPr>
              <w:t>с</w:t>
            </w:r>
            <w:r w:rsidRPr="006C29EF">
              <w:rPr>
                <w:rFonts w:ascii="Times New Roman" w:hAnsi="Times New Roman" w:cs="Times New Roman"/>
                <w:bCs/>
                <w:sz w:val="24"/>
                <w:szCs w:val="24"/>
              </w:rPr>
              <w:t>тановништво, Л</w:t>
            </w:r>
            <w:r w:rsidR="006C29EF">
              <w:rPr>
                <w:rFonts w:ascii="Times New Roman" w:hAnsi="Times New Roman" w:cs="Times New Roman"/>
                <w:bCs/>
                <w:sz w:val="24"/>
                <w:szCs w:val="24"/>
                <w:lang w:val="sr-Cyrl-RS"/>
              </w:rPr>
              <w:t>АГ</w:t>
            </w:r>
            <w:r w:rsidRPr="006C29EF">
              <w:rPr>
                <w:rFonts w:ascii="Times New Roman" w:hAnsi="Times New Roman" w:cs="Times New Roman"/>
                <w:bCs/>
                <w:sz w:val="24"/>
                <w:szCs w:val="24"/>
              </w:rPr>
              <w:t>,</w:t>
            </w:r>
            <w:r w:rsidR="006C29EF">
              <w:rPr>
                <w:rFonts w:ascii="Times New Roman" w:hAnsi="Times New Roman" w:cs="Times New Roman"/>
                <w:bCs/>
                <w:sz w:val="24"/>
                <w:szCs w:val="24"/>
                <w:lang w:val="sr-Cyrl-RS"/>
              </w:rPr>
              <w:t xml:space="preserve"> </w:t>
            </w:r>
            <w:r w:rsidRPr="006C29EF">
              <w:rPr>
                <w:rFonts w:ascii="Times New Roman" w:hAnsi="Times New Roman" w:cs="Times New Roman"/>
                <w:bCs/>
                <w:sz w:val="24"/>
                <w:szCs w:val="24"/>
              </w:rPr>
              <w:t>предузетници</w:t>
            </w:r>
            <w:r w:rsidRPr="006C29EF">
              <w:rPr>
                <w:rFonts w:ascii="Times New Roman" w:hAnsi="Times New Roman" w:cs="Times New Roman"/>
                <w:bCs/>
                <w:sz w:val="24"/>
                <w:szCs w:val="24"/>
                <w:lang w:val="sr-Cyrl-RS"/>
              </w:rPr>
              <w:t>, ЈЛС, са покренутим програмима и активностима, сарадње</w:t>
            </w:r>
          </w:p>
        </w:tc>
        <w:tc>
          <w:tcPr>
            <w:tcW w:w="2479" w:type="dxa"/>
          </w:tcPr>
          <w:p w14:paraId="0E1F32CE" w14:textId="77777777" w:rsidR="006101CE" w:rsidRPr="006C29EF" w:rsidRDefault="006101CE" w:rsidP="006101CE">
            <w:pPr>
              <w:autoSpaceDE w:val="0"/>
              <w:autoSpaceDN w:val="0"/>
              <w:adjustRightInd w:val="0"/>
              <w:rPr>
                <w:rFonts w:ascii="Times New Roman" w:hAnsi="Times New Roman" w:cs="Times New Roman"/>
                <w:bCs/>
                <w:sz w:val="24"/>
                <w:szCs w:val="24"/>
                <w:lang w:val="sr-Cyrl-RS"/>
              </w:rPr>
            </w:pPr>
            <w:r w:rsidRPr="006C29EF">
              <w:rPr>
                <w:rFonts w:ascii="Times New Roman" w:hAnsi="Times New Roman" w:cs="Times New Roman"/>
                <w:bCs/>
                <w:sz w:val="24"/>
                <w:szCs w:val="24"/>
              </w:rPr>
              <w:t xml:space="preserve">Слике, </w:t>
            </w:r>
            <w:r w:rsidRPr="006C29EF">
              <w:rPr>
                <w:rFonts w:ascii="Times New Roman" w:hAnsi="Times New Roman" w:cs="Times New Roman"/>
                <w:bCs/>
                <w:sz w:val="24"/>
                <w:szCs w:val="24"/>
                <w:lang w:val="sr-Cyrl-RS"/>
              </w:rPr>
              <w:t>рачуни, програми обуке, покренуте иницијативе-споразуми, партнерства</w:t>
            </w:r>
          </w:p>
        </w:tc>
      </w:tr>
      <w:tr w:rsidR="006101CE" w:rsidRPr="00A2074C" w14:paraId="311DF51B" w14:textId="77777777" w:rsidTr="00DF022A">
        <w:tc>
          <w:tcPr>
            <w:tcW w:w="2673" w:type="dxa"/>
          </w:tcPr>
          <w:p w14:paraId="5F378CC4" w14:textId="2BDE5484" w:rsidR="006101CE" w:rsidRPr="00A2074C" w:rsidRDefault="006101CE" w:rsidP="006101CE">
            <w:pPr>
              <w:rPr>
                <w:rFonts w:ascii="Times New Roman" w:hAnsi="Times New Roman" w:cs="Times New Roman"/>
                <w:sz w:val="24"/>
                <w:szCs w:val="24"/>
                <w:lang w:val="sr-Cyrl-RS"/>
              </w:rPr>
            </w:pPr>
            <w:r w:rsidRPr="00A2074C">
              <w:rPr>
                <w:rFonts w:ascii="Times New Roman" w:hAnsi="Times New Roman" w:cs="Times New Roman"/>
                <w:sz w:val="24"/>
                <w:szCs w:val="24"/>
              </w:rPr>
              <w:t xml:space="preserve"> </w:t>
            </w:r>
            <w:r w:rsidRPr="00A2074C">
              <w:rPr>
                <w:rFonts w:ascii="Times New Roman" w:hAnsi="Times New Roman" w:cs="Times New Roman"/>
                <w:sz w:val="24"/>
                <w:szCs w:val="24"/>
                <w:lang w:val="sr-Cyrl-RS"/>
              </w:rPr>
              <w:t>3.</w:t>
            </w:r>
            <w:r w:rsidR="00566E9F">
              <w:rPr>
                <w:rFonts w:ascii="Times New Roman" w:hAnsi="Times New Roman" w:cs="Times New Roman"/>
                <w:sz w:val="24"/>
                <w:szCs w:val="24"/>
                <w:lang w:val="sr-Cyrl-RS"/>
              </w:rPr>
              <w:t xml:space="preserve"> </w:t>
            </w:r>
            <w:r w:rsidRPr="00A2074C">
              <w:rPr>
                <w:rFonts w:ascii="Times New Roman" w:hAnsi="Times New Roman" w:cs="Times New Roman"/>
                <w:sz w:val="24"/>
                <w:szCs w:val="24"/>
                <w:lang w:val="sr-Cyrl-RS"/>
              </w:rPr>
              <w:t>ЦИЉ</w:t>
            </w:r>
            <w:r w:rsidR="00566E9F">
              <w:rPr>
                <w:rFonts w:ascii="Times New Roman" w:hAnsi="Times New Roman" w:cs="Times New Roman"/>
                <w:sz w:val="24"/>
                <w:szCs w:val="24"/>
                <w:lang w:val="sr-Cyrl-RS"/>
              </w:rPr>
              <w:t xml:space="preserve"> – </w:t>
            </w:r>
            <w:r w:rsidRPr="00A2074C">
              <w:rPr>
                <w:rFonts w:ascii="Times New Roman" w:hAnsi="Times New Roman" w:cs="Times New Roman"/>
                <w:sz w:val="24"/>
                <w:szCs w:val="24"/>
              </w:rPr>
              <w:t>Одрживи развој руралних подручја</w:t>
            </w:r>
          </w:p>
          <w:p w14:paraId="712023E0" w14:textId="77777777" w:rsidR="006101CE" w:rsidRPr="00A2074C" w:rsidRDefault="006101CE" w:rsidP="006101CE">
            <w:pPr>
              <w:rPr>
                <w:rFonts w:ascii="Calibri" w:hAnsi="Calibri" w:cs="Times New Roman"/>
                <w:bCs/>
                <w:color w:val="FF0000"/>
              </w:rPr>
            </w:pPr>
          </w:p>
        </w:tc>
        <w:tc>
          <w:tcPr>
            <w:tcW w:w="3865" w:type="dxa"/>
          </w:tcPr>
          <w:p w14:paraId="7C4A303B" w14:textId="77777777" w:rsidR="00566E9F" w:rsidRPr="00566E9F" w:rsidRDefault="006101CE" w:rsidP="00566E9F">
            <w:pPr>
              <w:pStyle w:val="ListParagraph"/>
              <w:numPr>
                <w:ilvl w:val="0"/>
                <w:numId w:val="14"/>
              </w:numPr>
              <w:autoSpaceDE w:val="0"/>
              <w:autoSpaceDN w:val="0"/>
              <w:adjustRightInd w:val="0"/>
              <w:ind w:left="198" w:hanging="218"/>
              <w:rPr>
                <w:rFonts w:ascii="Times New Roman" w:hAnsi="Times New Roman" w:cs="Times New Roman"/>
                <w:bCs/>
                <w:sz w:val="24"/>
                <w:szCs w:val="24"/>
                <w:lang w:val="sr-Cyrl-RS"/>
              </w:rPr>
            </w:pPr>
            <w:r w:rsidRPr="00566E9F">
              <w:rPr>
                <w:rFonts w:ascii="Times New Roman" w:hAnsi="Times New Roman" w:cs="Times New Roman"/>
                <w:bCs/>
                <w:sz w:val="24"/>
                <w:szCs w:val="24"/>
              </w:rPr>
              <w:t xml:space="preserve"> </w:t>
            </w:r>
            <w:r w:rsidRPr="00566E9F">
              <w:rPr>
                <w:rFonts w:ascii="Times New Roman" w:hAnsi="Times New Roman" w:cs="Times New Roman"/>
                <w:bCs/>
                <w:sz w:val="24"/>
                <w:szCs w:val="24"/>
                <w:lang w:val="sr-Cyrl-RS"/>
              </w:rPr>
              <w:t>Образовне институције,</w:t>
            </w:r>
            <w:r w:rsidR="00566E9F" w:rsidRPr="00566E9F">
              <w:rPr>
                <w:rFonts w:ascii="Times New Roman" w:hAnsi="Times New Roman" w:cs="Times New Roman"/>
                <w:bCs/>
                <w:sz w:val="24"/>
                <w:szCs w:val="24"/>
                <w:lang w:val="sr-Cyrl-RS"/>
              </w:rPr>
              <w:t xml:space="preserve"> </w:t>
            </w:r>
            <w:r w:rsidRPr="00566E9F">
              <w:rPr>
                <w:rFonts w:ascii="Times New Roman" w:hAnsi="Times New Roman" w:cs="Times New Roman"/>
                <w:bCs/>
                <w:sz w:val="24"/>
                <w:szCs w:val="24"/>
              </w:rPr>
              <w:t xml:space="preserve">пољопривредна газдинства, </w:t>
            </w:r>
            <w:r w:rsidRPr="00566E9F">
              <w:rPr>
                <w:rFonts w:ascii="Times New Roman" w:hAnsi="Times New Roman" w:cs="Times New Roman"/>
                <w:bCs/>
                <w:sz w:val="24"/>
                <w:szCs w:val="24"/>
                <w:lang w:val="sr-Cyrl-RS"/>
              </w:rPr>
              <w:t xml:space="preserve">предузетници, </w:t>
            </w:r>
            <w:r w:rsidRPr="00566E9F">
              <w:rPr>
                <w:rFonts w:ascii="Times New Roman" w:hAnsi="Times New Roman" w:cs="Times New Roman"/>
                <w:bCs/>
                <w:sz w:val="24"/>
                <w:szCs w:val="24"/>
              </w:rPr>
              <w:t>задруге и невладине организације</w:t>
            </w:r>
            <w:r w:rsidRPr="00566E9F">
              <w:rPr>
                <w:rFonts w:ascii="Times New Roman" w:hAnsi="Times New Roman" w:cs="Times New Roman"/>
                <w:bCs/>
                <w:sz w:val="24"/>
                <w:szCs w:val="24"/>
                <w:lang w:val="sr-Cyrl-RS"/>
              </w:rPr>
              <w:t>, установе, институције</w:t>
            </w:r>
            <w:r w:rsidRPr="00566E9F">
              <w:rPr>
                <w:rFonts w:ascii="Times New Roman" w:hAnsi="Times New Roman" w:cs="Times New Roman"/>
                <w:bCs/>
                <w:sz w:val="24"/>
                <w:szCs w:val="24"/>
              </w:rPr>
              <w:t xml:space="preserve"> које се баве у оквиру свог пословања заштитом животне средине и енергетском ефикасношћу</w:t>
            </w:r>
            <w:r w:rsidRPr="00566E9F">
              <w:rPr>
                <w:rFonts w:ascii="Times New Roman" w:hAnsi="Times New Roman" w:cs="Times New Roman"/>
                <w:bCs/>
                <w:sz w:val="24"/>
                <w:szCs w:val="24"/>
                <w:lang w:val="sr-Cyrl-RS"/>
              </w:rPr>
              <w:t>.</w:t>
            </w:r>
          </w:p>
          <w:p w14:paraId="0C3917DE" w14:textId="20393FF1" w:rsidR="006101CE" w:rsidRPr="00566E9F" w:rsidRDefault="006101CE" w:rsidP="00566E9F">
            <w:pPr>
              <w:pStyle w:val="ListParagraph"/>
              <w:numPr>
                <w:ilvl w:val="0"/>
                <w:numId w:val="14"/>
              </w:numPr>
              <w:autoSpaceDE w:val="0"/>
              <w:autoSpaceDN w:val="0"/>
              <w:adjustRightInd w:val="0"/>
              <w:ind w:left="198" w:hanging="218"/>
              <w:rPr>
                <w:rFonts w:ascii="Times New Roman" w:hAnsi="Times New Roman" w:cs="Times New Roman"/>
                <w:bCs/>
                <w:color w:val="FF0000"/>
                <w:sz w:val="24"/>
                <w:szCs w:val="24"/>
                <w:lang w:val="sr-Cyrl-RS"/>
              </w:rPr>
            </w:pPr>
            <w:r w:rsidRPr="00566E9F">
              <w:rPr>
                <w:rFonts w:ascii="Times New Roman" w:hAnsi="Times New Roman" w:cs="Times New Roman"/>
                <w:bCs/>
                <w:sz w:val="24"/>
                <w:szCs w:val="24"/>
                <w:lang w:val="sr-Cyrl-RS"/>
              </w:rPr>
              <w:t>Установе културе, Л</w:t>
            </w:r>
            <w:r w:rsidR="00566E9F">
              <w:rPr>
                <w:rFonts w:ascii="Times New Roman" w:hAnsi="Times New Roman" w:cs="Times New Roman"/>
                <w:bCs/>
                <w:sz w:val="24"/>
                <w:szCs w:val="24"/>
                <w:lang w:val="sr-Cyrl-RS"/>
              </w:rPr>
              <w:t>АГ</w:t>
            </w:r>
            <w:r w:rsidRPr="00566E9F">
              <w:rPr>
                <w:rFonts w:ascii="Times New Roman" w:hAnsi="Times New Roman" w:cs="Times New Roman"/>
                <w:bCs/>
                <w:sz w:val="24"/>
                <w:szCs w:val="24"/>
                <w:lang w:val="sr-Cyrl-RS"/>
              </w:rPr>
              <w:t>, становништво и ЈЛС,</w:t>
            </w:r>
            <w:r w:rsidR="00566E9F">
              <w:rPr>
                <w:rFonts w:ascii="Times New Roman" w:hAnsi="Times New Roman" w:cs="Times New Roman"/>
                <w:bCs/>
                <w:sz w:val="24"/>
                <w:szCs w:val="24"/>
                <w:lang w:val="sr-Cyrl-RS"/>
              </w:rPr>
              <w:t xml:space="preserve"> </w:t>
            </w:r>
            <w:r w:rsidRPr="00566E9F">
              <w:rPr>
                <w:rFonts w:ascii="Times New Roman" w:hAnsi="Times New Roman" w:cs="Times New Roman"/>
                <w:bCs/>
                <w:sz w:val="24"/>
                <w:szCs w:val="24"/>
                <w:lang w:val="sr-Cyrl-RS"/>
              </w:rPr>
              <w:t>са покренутим програмима,</w:t>
            </w:r>
            <w:r w:rsidR="00566E9F">
              <w:rPr>
                <w:rFonts w:ascii="Times New Roman" w:hAnsi="Times New Roman" w:cs="Times New Roman"/>
                <w:bCs/>
                <w:sz w:val="24"/>
                <w:szCs w:val="24"/>
                <w:lang w:val="sr-Cyrl-RS"/>
              </w:rPr>
              <w:t xml:space="preserve"> </w:t>
            </w:r>
            <w:r w:rsidRPr="00566E9F">
              <w:rPr>
                <w:rFonts w:ascii="Times New Roman" w:hAnsi="Times New Roman" w:cs="Times New Roman"/>
                <w:bCs/>
                <w:sz w:val="24"/>
                <w:szCs w:val="24"/>
                <w:lang w:val="sr-Cyrl-RS"/>
              </w:rPr>
              <w:t>иницијативама ревитализације културне баштине</w:t>
            </w:r>
          </w:p>
        </w:tc>
        <w:tc>
          <w:tcPr>
            <w:tcW w:w="2479" w:type="dxa"/>
          </w:tcPr>
          <w:p w14:paraId="2D5BAD8E" w14:textId="0D13A26C" w:rsidR="006101CE" w:rsidRPr="00A2074C" w:rsidRDefault="006101CE" w:rsidP="00566E9F">
            <w:pPr>
              <w:autoSpaceDE w:val="0"/>
              <w:autoSpaceDN w:val="0"/>
              <w:adjustRightInd w:val="0"/>
              <w:rPr>
                <w:rFonts w:ascii="Times New Roman" w:hAnsi="Times New Roman" w:cs="Times New Roman"/>
                <w:bCs/>
                <w:color w:val="FF0000"/>
                <w:sz w:val="24"/>
                <w:szCs w:val="24"/>
                <w:lang w:val="sr-Cyrl-RS"/>
              </w:rPr>
            </w:pPr>
            <w:r>
              <w:rPr>
                <w:rFonts w:ascii="Times New Roman" w:hAnsi="Times New Roman" w:cs="Times New Roman"/>
                <w:bCs/>
                <w:color w:val="000000"/>
                <w:sz w:val="24"/>
                <w:szCs w:val="24"/>
              </w:rPr>
              <w:t xml:space="preserve">Слике, рачуни за </w:t>
            </w:r>
            <w:r>
              <w:rPr>
                <w:rFonts w:ascii="Times New Roman" w:hAnsi="Times New Roman" w:cs="Times New Roman"/>
                <w:bCs/>
                <w:color w:val="000000"/>
                <w:sz w:val="24"/>
                <w:szCs w:val="24"/>
                <w:lang w:val="sr-Cyrl-RS"/>
              </w:rPr>
              <w:t>радове, Уговори о студијама</w:t>
            </w:r>
            <w:r w:rsidRPr="00A2074C">
              <w:rPr>
                <w:rFonts w:ascii="Times New Roman" w:hAnsi="Times New Roman" w:cs="Times New Roman"/>
                <w:bCs/>
                <w:color w:val="000000"/>
                <w:sz w:val="24"/>
                <w:szCs w:val="24"/>
              </w:rPr>
              <w:t xml:space="preserve"> и куповину опреме</w:t>
            </w:r>
            <w:r w:rsidR="00566E9F">
              <w:rPr>
                <w:rFonts w:ascii="Times New Roman" w:hAnsi="Times New Roman" w:cs="Times New Roman"/>
                <w:bCs/>
                <w:color w:val="000000"/>
                <w:sz w:val="24"/>
                <w:szCs w:val="24"/>
                <w:lang w:val="sr-Cyrl-RS"/>
              </w:rPr>
              <w:t>, м</w:t>
            </w:r>
            <w:r>
              <w:rPr>
                <w:rFonts w:ascii="Times New Roman" w:hAnsi="Times New Roman" w:cs="Times New Roman"/>
                <w:bCs/>
                <w:color w:val="000000"/>
                <w:sz w:val="24"/>
                <w:szCs w:val="24"/>
                <w:lang w:val="sr-Cyrl-RS"/>
              </w:rPr>
              <w:t>анифестације, програми, сарадња, споразуми</w:t>
            </w:r>
          </w:p>
        </w:tc>
      </w:tr>
    </w:tbl>
    <w:p w14:paraId="6550E273" w14:textId="77777777" w:rsidR="006101CE" w:rsidRPr="00723C0E" w:rsidRDefault="006101CE" w:rsidP="006101CE">
      <w:pPr>
        <w:rPr>
          <w:rFonts w:ascii="Times New Roman" w:hAnsi="Times New Roman" w:cs="Times New Roman"/>
          <w:b/>
          <w:sz w:val="24"/>
          <w:szCs w:val="24"/>
          <w:lang w:val="sr-Cyrl-RS"/>
        </w:rPr>
      </w:pPr>
    </w:p>
    <w:p w14:paraId="3B11F269" w14:textId="41F78346" w:rsidR="00C90E8A" w:rsidRDefault="00C90E8A" w:rsidP="006767C3">
      <w:pPr>
        <w:pStyle w:val="-1"/>
      </w:pPr>
      <w:bookmarkStart w:id="46" w:name="_Toc55208052"/>
      <w:r>
        <w:t>Опис капацитета за спровођење Локалне стратегије руралног развоја</w:t>
      </w:r>
      <w:bookmarkEnd w:id="46"/>
    </w:p>
    <w:p w14:paraId="3A8D695B" w14:textId="4E20CFA6" w:rsidR="00C90E8A" w:rsidRPr="00BA30AD" w:rsidRDefault="00C90E8A" w:rsidP="006767C3">
      <w:pPr>
        <w:pStyle w:val="-2"/>
      </w:pPr>
      <w:bookmarkStart w:id="47" w:name="_Toc55208053"/>
      <w:r w:rsidRPr="00BA30AD">
        <w:t>а. Људски капацитет за спровођење Локалне стратегије руралног развоја;</w:t>
      </w:r>
      <w:bookmarkEnd w:id="47"/>
    </w:p>
    <w:p w14:paraId="6F375719" w14:textId="77777777" w:rsidR="00C90E8A" w:rsidRDefault="00C90E8A" w:rsidP="00C90E8A">
      <w:pPr>
        <w:pStyle w:val="Tekst-1"/>
      </w:pPr>
      <w:r>
        <w:t>Локална акциона група „Јастребчанка“ адреса: Суваја бб, 18420 Блаце, МБ:28286805, ПИБ:111632360, датум регистрација: 19.09.2019. године;</w:t>
      </w:r>
    </w:p>
    <w:p w14:paraId="6FD2BEE5" w14:textId="77777777" w:rsidR="00C90E8A" w:rsidRDefault="00C90E8A" w:rsidP="00C90E8A">
      <w:pPr>
        <w:pStyle w:val="Tekst-1"/>
      </w:pPr>
      <w:r>
        <w:t>Према Статуту ЛАГ-а управљање организацијом поверено је Управном одбору ЛАГ-а кога бира Скупштина на мандат од 4 године. Управни одбор броји 5 чланова и то су:</w:t>
      </w:r>
    </w:p>
    <w:p w14:paraId="33FFB34D" w14:textId="14E5D346" w:rsidR="00C90E8A" w:rsidRDefault="00C90E8A" w:rsidP="00E20679">
      <w:pPr>
        <w:pStyle w:val="Tekst-1"/>
        <w:numPr>
          <w:ilvl w:val="0"/>
          <w:numId w:val="2"/>
        </w:numPr>
      </w:pPr>
      <w:r>
        <w:t>Дејан Јоксимовић из Доње Топонице из Прокупља, власник птр.“ BOKI FOOD SYSTEM“;</w:t>
      </w:r>
    </w:p>
    <w:p w14:paraId="0091C5E8" w14:textId="09756B6F" w:rsidR="00C90E8A" w:rsidRDefault="00C90E8A" w:rsidP="00E20679">
      <w:pPr>
        <w:pStyle w:val="Tekst-1"/>
        <w:numPr>
          <w:ilvl w:val="0"/>
          <w:numId w:val="2"/>
        </w:numPr>
      </w:pPr>
      <w:r>
        <w:t>Установа „ Народни Музеј Топлице</w:t>
      </w:r>
      <w:r w:rsidR="00EC3060">
        <w:t>“</w:t>
      </w:r>
      <w:r>
        <w:t xml:space="preserve"> из Прокупља;</w:t>
      </w:r>
    </w:p>
    <w:p w14:paraId="1D5407CA" w14:textId="358CF57A" w:rsidR="00C90E8A" w:rsidRDefault="00C90E8A" w:rsidP="00E20679">
      <w:pPr>
        <w:pStyle w:val="Tekst-1"/>
        <w:numPr>
          <w:ilvl w:val="0"/>
          <w:numId w:val="2"/>
        </w:numPr>
        <w:rPr>
          <w:color w:val="222222"/>
          <w:shd w:val="clear" w:color="auto" w:fill="FFFFFF"/>
        </w:rPr>
      </w:pPr>
      <w:r w:rsidRPr="00E87C35">
        <w:t>Сузана Вељовић</w:t>
      </w:r>
      <w:r w:rsidR="005F749E">
        <w:t xml:space="preserve">, </w:t>
      </w:r>
      <w:r w:rsidRPr="00E87C35">
        <w:t>Блаце</w:t>
      </w:r>
      <w:r>
        <w:rPr>
          <w:color w:val="222222"/>
        </w:rPr>
        <w:t>,</w:t>
      </w:r>
      <w:r w:rsidR="005F749E">
        <w:rPr>
          <w:color w:val="222222"/>
        </w:rPr>
        <w:t xml:space="preserve"> Суваја</w:t>
      </w:r>
      <w:r>
        <w:rPr>
          <w:color w:val="222222"/>
        </w:rPr>
        <w:t xml:space="preserve"> „</w:t>
      </w:r>
      <w:r>
        <w:t>СУЗАНА ВЕЉОВИЋ ПР, САМОСТАЛНА ЗАНАТСКА РАДЊА И КОНСАЛТИНГ</w:t>
      </w:r>
      <w:r w:rsidRPr="00DE3AF0">
        <w:t xml:space="preserve"> </w:t>
      </w:r>
      <w:r w:rsidRPr="00E87C35">
        <w:rPr>
          <w:shd w:val="clear" w:color="auto" w:fill="FFFFFF"/>
        </w:rPr>
        <w:t>NATURAL FOOD</w:t>
      </w:r>
      <w:r>
        <w:rPr>
          <w:color w:val="222222"/>
          <w:shd w:val="clear" w:color="auto" w:fill="FFFFFF"/>
        </w:rPr>
        <w:t>, СУВАЈА“;</w:t>
      </w:r>
    </w:p>
    <w:p w14:paraId="2F35BB5B" w14:textId="39ABA886" w:rsidR="00C90E8A" w:rsidRDefault="00C90E8A" w:rsidP="00E20679">
      <w:pPr>
        <w:pStyle w:val="Tekst-1"/>
        <w:numPr>
          <w:ilvl w:val="0"/>
          <w:numId w:val="2"/>
        </w:numPr>
        <w:rPr>
          <w:lang w:val="sr-Latn-RS"/>
        </w:rPr>
      </w:pPr>
      <w:r>
        <w:t>Гордана Стојадиновић, Доње Гргуре, Блаце, представник</w:t>
      </w:r>
      <w:r w:rsidRPr="00D81C0C">
        <w:t xml:space="preserve"> </w:t>
      </w:r>
      <w:r>
        <w:t>Удружења произвођача млека “Гргуре“</w:t>
      </w:r>
      <w:r>
        <w:rPr>
          <w:lang w:val="sr-Latn-RS"/>
        </w:rPr>
        <w:t>;</w:t>
      </w:r>
    </w:p>
    <w:p w14:paraId="2F16A4B0" w14:textId="096CF001" w:rsidR="00C90E8A" w:rsidRDefault="00C90E8A" w:rsidP="00E20679">
      <w:pPr>
        <w:pStyle w:val="Tekst-1"/>
        <w:numPr>
          <w:ilvl w:val="0"/>
          <w:numId w:val="2"/>
        </w:numPr>
      </w:pPr>
      <w:r w:rsidRPr="00E87C35">
        <w:rPr>
          <w:shd w:val="clear" w:color="auto" w:fill="FFFFFF"/>
        </w:rPr>
        <w:t>Милош Чолић, Ђуревац бб Блаце</w:t>
      </w:r>
      <w:r w:rsidRPr="00E87C35">
        <w:t xml:space="preserve">  </w:t>
      </w:r>
      <w:r>
        <w:t>представник Удружења Интермедиа.</w:t>
      </w:r>
    </w:p>
    <w:p w14:paraId="4717944F" w14:textId="77777777" w:rsidR="00C90E8A" w:rsidRDefault="00C90E8A" w:rsidP="00C90E8A">
      <w:pPr>
        <w:pStyle w:val="Tekst-1"/>
      </w:pPr>
      <w:r>
        <w:t>У управљачкој структури ЛАГ-а Јавни сектор 20% (1 представник),  Цивилни сектор 40% (2 представника), Приватни сектор 40% (2 представника).</w:t>
      </w:r>
    </w:p>
    <w:p w14:paraId="7881658F" w14:textId="2A69183E" w:rsidR="00C90E8A" w:rsidRDefault="00C90E8A" w:rsidP="008B6A1C">
      <w:pPr>
        <w:pStyle w:val="Tekst-1"/>
      </w:pPr>
      <w:r>
        <w:t>У прилогу се налази организациона шема Локалне акционе групе ”Јастребчанка”.</w:t>
      </w:r>
    </w:p>
    <w:p w14:paraId="2C551856" w14:textId="77777777" w:rsidR="00073C5F" w:rsidRDefault="00073C5F" w:rsidP="00223B61">
      <w:pPr>
        <w:pStyle w:val="a0"/>
      </w:pPr>
    </w:p>
    <w:p w14:paraId="1CD3C6A3" w14:textId="445D1F09" w:rsidR="008B6A1C" w:rsidRDefault="008B6A1C" w:rsidP="00223B61">
      <w:pPr>
        <w:pStyle w:val="a0"/>
      </w:pPr>
      <w:r>
        <w:t>График</w:t>
      </w:r>
      <w:r w:rsidR="00223B61">
        <w:t>он 12. Управ</w:t>
      </w:r>
      <w:r w:rsidR="00073C5F">
        <w:t>љачка структура ЛАГ по секторима</w:t>
      </w:r>
    </w:p>
    <w:p w14:paraId="1722194F" w14:textId="77777777" w:rsidR="00C90E8A" w:rsidRDefault="00C90E8A" w:rsidP="00C90E8A">
      <w:pPr>
        <w:jc w:val="center"/>
        <w:rPr>
          <w:lang w:val="sr-Cyrl-RS"/>
        </w:rPr>
      </w:pPr>
      <w:r>
        <w:rPr>
          <w:noProof/>
          <w:lang w:val="sr-Latn-RS" w:eastAsia="sr-Latn-RS"/>
        </w:rPr>
        <w:drawing>
          <wp:inline distT="0" distB="0" distL="0" distR="0" wp14:anchorId="25B9C9D2" wp14:editId="1EBE9F90">
            <wp:extent cx="4508204" cy="2132935"/>
            <wp:effectExtent l="0" t="0" r="698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1EBCA7" w14:textId="77777777" w:rsidR="00C90E8A" w:rsidRDefault="00C90E8A" w:rsidP="00C90E8A">
      <w:pPr>
        <w:pStyle w:val="Tekst-1"/>
      </w:pPr>
      <w:r>
        <w:t>Управни одбор бира и закључује уговор о раду са ЛАГ менаџером. Статутом ЛАГ-а предвиђено је да менаџер заступа удружење.</w:t>
      </w:r>
    </w:p>
    <w:p w14:paraId="6059496F" w14:textId="3433E407" w:rsidR="00C90E8A" w:rsidRDefault="00C90E8A" w:rsidP="00C90E8A">
      <w:pPr>
        <w:pStyle w:val="Tekst-1"/>
      </w:pPr>
      <w:r>
        <w:t xml:space="preserve">Заступник ЛАГ-а „Јастребчанка“ волонтерски обавља функцију и тренутно нема запослених у Партнерству. У својој структури чланства ЛАГ има регистрованих 18 чланова, највише из цивилног сектора (9 чланова), затим 4 члана из јавног сектора и 5 чланова из приватног сектора. Приватни сектор 28%, Јавни сектор 22%, Цивилни сектор 50%. </w:t>
      </w:r>
    </w:p>
    <w:p w14:paraId="45BFA567" w14:textId="0D2FCAD5" w:rsidR="00073C5F" w:rsidRDefault="00073C5F">
      <w:pPr>
        <w:rPr>
          <w:rFonts w:ascii="Times New Roman" w:hAnsi="Times New Roman" w:cs="Times New Roman"/>
          <w:sz w:val="24"/>
          <w:szCs w:val="28"/>
          <w:lang w:val="sr-Cyrl-RS"/>
        </w:rPr>
      </w:pPr>
    </w:p>
    <w:p w14:paraId="17D6B6BE" w14:textId="3947D1AC" w:rsidR="00073C5F" w:rsidRDefault="00073C5F" w:rsidP="00073C5F">
      <w:pPr>
        <w:pStyle w:val="a0"/>
      </w:pPr>
      <w:r>
        <w:t>Графикон 13. Структура чланства у органу управљања ЛАГ по секторима</w:t>
      </w:r>
    </w:p>
    <w:p w14:paraId="5C631FF5" w14:textId="1814F293" w:rsidR="00C90E8A" w:rsidRDefault="00C90E8A" w:rsidP="00C90E8A">
      <w:pPr>
        <w:jc w:val="center"/>
        <w:rPr>
          <w:lang w:val="sr-Cyrl-RS"/>
        </w:rPr>
      </w:pPr>
      <w:r>
        <w:rPr>
          <w:noProof/>
          <w:lang w:val="sr-Latn-RS" w:eastAsia="sr-Latn-RS"/>
        </w:rPr>
        <w:drawing>
          <wp:inline distT="0" distB="0" distL="0" distR="0" wp14:anchorId="4AA1A0EE" wp14:editId="6648EBF5">
            <wp:extent cx="4455042" cy="2393211"/>
            <wp:effectExtent l="0" t="0" r="3175"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CE79EA" w14:textId="77777777" w:rsidR="00C90E8A" w:rsidRDefault="00C90E8A" w:rsidP="002601C7">
      <w:pPr>
        <w:pStyle w:val="Tekst-1"/>
      </w:pPr>
      <w:r>
        <w:t>У раду ЛАГ-а активно учествују Одељења за пољопривреду Општинске управе Блаце и градске управе града Прокупље, земљорадничке задруге, Туристичке организације, Канцеларије за младе и друге јавне установе и организације које пружају додатну стручну и техничку помоћ раду ЛАГ-а. Такође значајно је учешће прдставника цивилног и приватног сектора који имају велико искуство у писању и спровођењу пројеката. ЛАГ поседује у потпуности опремљен простор за рад који се налази у селу Суваја, у оквиру просторија Натурал фуд. Простор је адаптиран и у потпуности опремљен за рад, а састоји се од радног – офис дела. Од средстава за рад ЛАГ користи ресурсе града Прокупље и Општине Блаце.</w:t>
      </w:r>
    </w:p>
    <w:p w14:paraId="6D6A0A5C" w14:textId="77777777" w:rsidR="00A42225" w:rsidRDefault="00C90E8A" w:rsidP="006767C3">
      <w:pPr>
        <w:pStyle w:val="-2"/>
      </w:pPr>
      <w:r>
        <w:t xml:space="preserve"> </w:t>
      </w:r>
      <w:bookmarkStart w:id="48" w:name="_Toc55208054"/>
      <w:r>
        <w:t xml:space="preserve">б. Финансијски капацитет </w:t>
      </w:r>
      <w:r w:rsidRPr="00A42225">
        <w:t>за</w:t>
      </w:r>
      <w:r>
        <w:t xml:space="preserve"> спровођење Локалне стратегије  руралног развоја</w:t>
      </w:r>
      <w:bookmarkEnd w:id="48"/>
    </w:p>
    <w:p w14:paraId="3627D4C2" w14:textId="259F5AC5" w:rsidR="00C90E8A" w:rsidRDefault="00C90E8A" w:rsidP="00A42225">
      <w:pPr>
        <w:pStyle w:val="Tekst-1"/>
      </w:pPr>
      <w:r>
        <w:t xml:space="preserve"> Локална акциона група „Јастребчанка“ ће у предстојећем периоду, до отварања мере LEADER у оквиру програма ИПАРД 2 Републике Србије, своје текуће трошкове и активности финансирати из следећих извора: </w:t>
      </w:r>
    </w:p>
    <w:p w14:paraId="3119ECA5" w14:textId="4CF9B50A" w:rsidR="00C90E8A" w:rsidRDefault="00C90E8A" w:rsidP="00E20679">
      <w:pPr>
        <w:pStyle w:val="Tekst-1"/>
        <w:numPr>
          <w:ilvl w:val="0"/>
          <w:numId w:val="1"/>
        </w:numPr>
      </w:pPr>
      <w:r>
        <w:t xml:space="preserve">Донације локалних самоуправа – аплицирање на отворене конкурси за ОЦД </w:t>
      </w:r>
    </w:p>
    <w:p w14:paraId="4A984B6F" w14:textId="682F62F2" w:rsidR="00C90E8A" w:rsidRDefault="00C90E8A" w:rsidP="00E20679">
      <w:pPr>
        <w:pStyle w:val="Tekst-1"/>
        <w:numPr>
          <w:ilvl w:val="0"/>
          <w:numId w:val="1"/>
        </w:numPr>
      </w:pPr>
      <w:r>
        <w:t xml:space="preserve">Донације Владе Републике Србије – аплицирање на отворене конкурсе (Министарства) </w:t>
      </w:r>
    </w:p>
    <w:p w14:paraId="4F92C4D4" w14:textId="7CF3C3BD" w:rsidR="00C90E8A" w:rsidRDefault="00C90E8A" w:rsidP="00E20679">
      <w:pPr>
        <w:pStyle w:val="Tekst-1"/>
        <w:numPr>
          <w:ilvl w:val="0"/>
          <w:numId w:val="1"/>
        </w:numPr>
      </w:pPr>
      <w:r>
        <w:t>Средства из ЕУ и других донаторских фондова</w:t>
      </w:r>
    </w:p>
    <w:p w14:paraId="4C95DB3F" w14:textId="29DA7F11" w:rsidR="00C90E8A" w:rsidRDefault="00C90E8A" w:rsidP="00E20679">
      <w:pPr>
        <w:pStyle w:val="Tekst-1"/>
        <w:numPr>
          <w:ilvl w:val="0"/>
          <w:numId w:val="1"/>
        </w:numPr>
      </w:pPr>
      <w:r>
        <w:t xml:space="preserve">Донације грађана и привреде У периоду до отварања мере LEADER у оквиру програма ИПАРД 2, ЛАГ „Јастребчанка“ ће поред средстава из конкурса расписаних од стране јединица локалне самоуправе, активно аплицирати и на средства Владе Републике Србије како би се обезбедила средства за мање пројеке из различитих сектора. </w:t>
      </w:r>
    </w:p>
    <w:p w14:paraId="2C08DEBF" w14:textId="2A378DC2" w:rsidR="00C90E8A" w:rsidRDefault="00C90E8A" w:rsidP="00A42225">
      <w:pPr>
        <w:pStyle w:val="Tekst-1"/>
      </w:pPr>
      <w:r>
        <w:t xml:space="preserve">Такође, ЛАГ ће активности усмерити и на програме Interreg прекограничне сарадње </w:t>
      </w:r>
      <w:r w:rsidR="005E0A94">
        <w:t>(Србија – Бугарска)</w:t>
      </w:r>
      <w:r>
        <w:t xml:space="preserve">, програме подршке амбасада страних држава у Републици Србији, </w:t>
      </w:r>
      <w:r w:rsidR="005E0A94">
        <w:t xml:space="preserve">програме донација међународних организација (Европска комисија, Савет Европе, регионалне канцеларије за сарадњу), </w:t>
      </w:r>
      <w:r>
        <w:t xml:space="preserve">програме подршке Турске развојне агенције TIKA, Аустријске развојне агенције (АДА) и др. Када је реч о одговорностима за управљање финансијама и задужењима, према Статуту, средствима ЛАГ-а располаже Управни одбор, у складу са усвојеном ЛСРР. Управни одбор руководи радом ЛАГ-а између две седнице Скупштине, а између осталог извршава финансијски план, управља имовином ЛАГ-а, Контролу финансијског и материалног пословања и контролу располагања средствима спроводи Надзорни одбор од 3 члана које бира Скупштина на период од 4 године. Пословне књиге и финансијске извештаје за ЛАГ уређује књиговодствена агенција ангажована по основу Уговора. Заступник ЛАГ-а води и организује административно и материјално-финансијско пословање. </w:t>
      </w:r>
    </w:p>
    <w:p w14:paraId="6B561D93" w14:textId="77777777" w:rsidR="00C90E8A" w:rsidRDefault="00C90E8A" w:rsidP="006767C3">
      <w:pPr>
        <w:pStyle w:val="-2"/>
      </w:pPr>
      <w:bookmarkStart w:id="49" w:name="_Toc55208055"/>
      <w:r>
        <w:t>в. Искуство у спровођењу пројеката</w:t>
      </w:r>
      <w:bookmarkEnd w:id="49"/>
    </w:p>
    <w:p w14:paraId="51C288AD" w14:textId="77777777" w:rsidR="00A42225" w:rsidRDefault="00C90E8A" w:rsidP="00A42225">
      <w:pPr>
        <w:pStyle w:val="Tekst-1"/>
      </w:pPr>
      <w:r>
        <w:t xml:space="preserve"> Основан 2019. године, ЛАГ ”Јастребчанка”, активно је радио на анимирању становништва, одражавању инфо дана и радионица, присуствовао различитим локалним и регионалним манифестацијама (Сајам вина и хране </w:t>
      </w:r>
      <w:r w:rsidR="00A42225">
        <w:rPr>
          <w:lang w:val="sr-Latn-RS"/>
        </w:rPr>
        <w:t xml:space="preserve">"TOP Wine Fest" </w:t>
      </w:r>
      <w:r>
        <w:t>у Блацу, Дани шљиве Блаце, Изађи ми на теглу...) на којима је презентовао не само свој рад, већ и производе и друге ресурсе са подручја.</w:t>
      </w:r>
    </w:p>
    <w:p w14:paraId="0E2D00AD" w14:textId="7D850A98" w:rsidR="00C90E8A" w:rsidRDefault="00C90E8A" w:rsidP="008B6A1C">
      <w:pPr>
        <w:pStyle w:val="Tekst-1"/>
      </w:pPr>
      <w:r>
        <w:t>ЛАГ ”Јастребчанка” поштује принципе транспарентности и партиципациј</w:t>
      </w:r>
      <w:r w:rsidR="00A42225">
        <w:rPr>
          <w:lang w:val="sr-Latn-RS"/>
        </w:rPr>
        <w:t>e</w:t>
      </w:r>
      <w:r>
        <w:t xml:space="preserve">, редовно одржава састанке са својим </w:t>
      </w:r>
      <w:r w:rsidR="00A42225">
        <w:t>члановима/</w:t>
      </w:r>
      <w:r>
        <w:t xml:space="preserve">чланицама и веома ажурно све битне информације и вести (догађаји, отворени конкурси, састанци, презентација и др.) објављује на званичној фејсбук страници </w:t>
      </w:r>
      <w:hyperlink r:id="rId23" w:history="1">
        <w:r w:rsidRPr="006707E3">
          <w:rPr>
            <w:rStyle w:val="Hyperlink"/>
          </w:rPr>
          <w:t>https://www.facebook.com/jastrebcanka</w:t>
        </w:r>
      </w:hyperlink>
      <w:r>
        <w:t>.</w:t>
      </w:r>
      <w:r w:rsidRPr="00B2403A">
        <w:t xml:space="preserve"> </w:t>
      </w:r>
      <w:r>
        <w:t xml:space="preserve"> Током 2020. године, због тешке ситуације изазване пандемијом корона вирусом (Covid</w:t>
      </w:r>
      <w:r w:rsidR="00A42225">
        <w:t>-</w:t>
      </w:r>
      <w:r>
        <w:t>19), ЛАГ ”Јастребчанка” је омогућио својим чланицама да, путем званичне Фејсбук странице врше промоцију локалних производа (хране, пића, зачинског биља, козметике и сл.) и отворио врата за пружање техничке помоћи кроз припрему документације за конкурисање за средства код различитих фондова.</w:t>
      </w:r>
    </w:p>
    <w:p w14:paraId="73F4526A" w14:textId="77777777" w:rsidR="003E2CA5" w:rsidRDefault="003E2CA5" w:rsidP="008B6A1C">
      <w:pPr>
        <w:pStyle w:val="Tekst-1"/>
      </w:pPr>
    </w:p>
    <w:p w14:paraId="0DCDDD45" w14:textId="77777777" w:rsidR="00EA55A3" w:rsidRPr="00406D72" w:rsidRDefault="00EA55A3" w:rsidP="00EA55A3">
      <w:pPr>
        <w:pStyle w:val="-2"/>
      </w:pPr>
      <w:bookmarkStart w:id="50" w:name="_Toc55208056"/>
      <w:r>
        <w:t>a)</w:t>
      </w:r>
      <w:r w:rsidRPr="00406D72">
        <w:t xml:space="preserve"> Финансијски план за финансирање пројектних активности</w:t>
      </w:r>
      <w:bookmarkEnd w:id="50"/>
    </w:p>
    <w:tbl>
      <w:tblPr>
        <w:tblStyle w:val="TableGrid1"/>
        <w:tblW w:w="5000" w:type="pct"/>
        <w:tblLook w:val="04A0" w:firstRow="1" w:lastRow="0" w:firstColumn="1" w:lastColumn="0" w:noHBand="0" w:noVBand="1"/>
      </w:tblPr>
      <w:tblGrid>
        <w:gridCol w:w="7007"/>
        <w:gridCol w:w="2236"/>
      </w:tblGrid>
      <w:tr w:rsidR="00EA55A3" w:rsidRPr="00EA55A3" w14:paraId="589BB620" w14:textId="77777777" w:rsidTr="00EA55A3">
        <w:tc>
          <w:tcPr>
            <w:tcW w:w="6836" w:type="dxa"/>
            <w:shd w:val="clear" w:color="auto" w:fill="9CC2E5" w:themeFill="accent5" w:themeFillTint="99"/>
            <w:vAlign w:val="center"/>
          </w:tcPr>
          <w:p w14:paraId="13D34CA7" w14:textId="77777777" w:rsidR="00EA55A3" w:rsidRPr="00EA55A3" w:rsidRDefault="00EA55A3" w:rsidP="00EA55A3">
            <w:pPr>
              <w:jc w:val="center"/>
              <w:rPr>
                <w:rFonts w:ascii="Times New Roman" w:hAnsi="Times New Roman" w:cs="Times New Roman"/>
                <w:b/>
                <w:sz w:val="24"/>
                <w:szCs w:val="24"/>
              </w:rPr>
            </w:pPr>
            <w:r w:rsidRPr="00EA55A3">
              <w:rPr>
                <w:rFonts w:ascii="Times New Roman" w:hAnsi="Times New Roman" w:cs="Times New Roman"/>
                <w:b/>
                <w:sz w:val="24"/>
                <w:szCs w:val="24"/>
              </w:rPr>
              <w:t xml:space="preserve">Назив </w:t>
            </w:r>
            <w:r w:rsidRPr="00EA55A3">
              <w:rPr>
                <w:rFonts w:ascii="Times New Roman" w:hAnsi="Times New Roman" w:cs="Times New Roman"/>
                <w:b/>
                <w:sz w:val="24"/>
                <w:szCs w:val="24"/>
                <w:lang w:val="sr-Cyrl-RS"/>
              </w:rPr>
              <w:t>активности/</w:t>
            </w:r>
            <w:r w:rsidRPr="00EA55A3">
              <w:rPr>
                <w:rFonts w:ascii="Times New Roman" w:hAnsi="Times New Roman" w:cs="Times New Roman"/>
                <w:b/>
                <w:sz w:val="24"/>
                <w:szCs w:val="24"/>
              </w:rPr>
              <w:t>пројекта</w:t>
            </w:r>
          </w:p>
        </w:tc>
        <w:tc>
          <w:tcPr>
            <w:tcW w:w="2181" w:type="dxa"/>
            <w:shd w:val="clear" w:color="auto" w:fill="9CC2E5" w:themeFill="accent5" w:themeFillTint="99"/>
            <w:vAlign w:val="center"/>
          </w:tcPr>
          <w:p w14:paraId="2C306B93" w14:textId="77777777" w:rsidR="00EA55A3" w:rsidRPr="00EA55A3" w:rsidRDefault="00EA55A3" w:rsidP="00EA55A3">
            <w:pPr>
              <w:jc w:val="center"/>
              <w:rPr>
                <w:rFonts w:ascii="Times New Roman" w:hAnsi="Times New Roman" w:cs="Times New Roman"/>
                <w:b/>
                <w:sz w:val="24"/>
                <w:szCs w:val="24"/>
                <w:lang w:val="sr-Cyrl-RS"/>
              </w:rPr>
            </w:pPr>
            <w:r w:rsidRPr="00EA55A3">
              <w:rPr>
                <w:rFonts w:ascii="Times New Roman" w:hAnsi="Times New Roman" w:cs="Times New Roman"/>
                <w:b/>
                <w:sz w:val="24"/>
                <w:szCs w:val="24"/>
              </w:rPr>
              <w:t>Вредност пројекта</w:t>
            </w:r>
            <w:r w:rsidRPr="00EA55A3">
              <w:rPr>
                <w:rFonts w:ascii="Times New Roman" w:hAnsi="Times New Roman" w:cs="Times New Roman"/>
                <w:b/>
                <w:sz w:val="24"/>
                <w:szCs w:val="24"/>
                <w:lang w:val="sr-Cyrl-RS"/>
              </w:rPr>
              <w:t xml:space="preserve"> рсд</w:t>
            </w:r>
          </w:p>
        </w:tc>
      </w:tr>
      <w:tr w:rsidR="00EA55A3" w:rsidRPr="00EA55A3" w14:paraId="5D442170" w14:textId="77777777" w:rsidTr="00EA55A3">
        <w:tc>
          <w:tcPr>
            <w:tcW w:w="6836" w:type="dxa"/>
          </w:tcPr>
          <w:p w14:paraId="68A6CDA7" w14:textId="4D071CED"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Подстицање  тржишно ор</w:t>
            </w:r>
            <w:r>
              <w:rPr>
                <w:rFonts w:ascii="Times New Roman" w:hAnsi="Times New Roman" w:cs="Times New Roman"/>
                <w:bCs/>
                <w:sz w:val="24"/>
                <w:szCs w:val="24"/>
                <w:lang w:val="sr-Cyrl-RS"/>
              </w:rPr>
              <w:t>и</w:t>
            </w:r>
            <w:r w:rsidRPr="00EA55A3">
              <w:rPr>
                <w:rFonts w:ascii="Times New Roman" w:hAnsi="Times New Roman" w:cs="Times New Roman"/>
                <w:bCs/>
                <w:sz w:val="24"/>
                <w:szCs w:val="24"/>
                <w:lang w:val="sr-Cyrl-RS"/>
              </w:rPr>
              <w:t>јентисане пољопривреде , финализације и диверзификације пољоприврене производње</w:t>
            </w:r>
            <w:r>
              <w:rPr>
                <w:rFonts w:ascii="Times New Roman" w:hAnsi="Times New Roman" w:cs="Times New Roman"/>
                <w:bCs/>
                <w:sz w:val="24"/>
                <w:szCs w:val="24"/>
                <w:lang w:val="sr-Cyrl-RS"/>
              </w:rPr>
              <w:t xml:space="preserve"> </w:t>
            </w:r>
            <w:r w:rsidRPr="00EA55A3">
              <w:rPr>
                <w:rFonts w:ascii="Times New Roman" w:hAnsi="Times New Roman" w:cs="Times New Roman"/>
                <w:bCs/>
                <w:sz w:val="24"/>
                <w:szCs w:val="24"/>
                <w:lang w:val="sr-Cyrl-RS"/>
              </w:rPr>
              <w:t>„Заједно стварамо синергију“</w:t>
            </w:r>
          </w:p>
        </w:tc>
        <w:tc>
          <w:tcPr>
            <w:tcW w:w="2181" w:type="dxa"/>
          </w:tcPr>
          <w:p w14:paraId="622C6C50"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2.000.000,00</w:t>
            </w:r>
          </w:p>
        </w:tc>
      </w:tr>
      <w:tr w:rsidR="00EA55A3" w:rsidRPr="00EA55A3" w14:paraId="3F7FD973" w14:textId="77777777" w:rsidTr="00EA55A3">
        <w:tc>
          <w:tcPr>
            <w:tcW w:w="6836" w:type="dxa"/>
          </w:tcPr>
          <w:p w14:paraId="19C3A081" w14:textId="77777777"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Подстицање увођења ознака квалитета, брендирања и увођење нових маркетиншких алата за промоцију домаћих пољопривредних производа</w:t>
            </w:r>
          </w:p>
        </w:tc>
        <w:tc>
          <w:tcPr>
            <w:tcW w:w="2181" w:type="dxa"/>
          </w:tcPr>
          <w:p w14:paraId="00F12E0A"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900.000,00</w:t>
            </w:r>
          </w:p>
        </w:tc>
      </w:tr>
      <w:tr w:rsidR="00EA55A3" w:rsidRPr="00EA55A3" w14:paraId="4448FAFB" w14:textId="77777777" w:rsidTr="00EA55A3">
        <w:tc>
          <w:tcPr>
            <w:tcW w:w="6836" w:type="dxa"/>
          </w:tcPr>
          <w:p w14:paraId="26C5E3E0" w14:textId="77777777"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Развој еколошке пољопривреде</w:t>
            </w:r>
          </w:p>
        </w:tc>
        <w:tc>
          <w:tcPr>
            <w:tcW w:w="2181" w:type="dxa"/>
          </w:tcPr>
          <w:p w14:paraId="10C3D82D"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1.500.000,00</w:t>
            </w:r>
          </w:p>
        </w:tc>
      </w:tr>
      <w:tr w:rsidR="00EA55A3" w:rsidRPr="00EA55A3" w14:paraId="32736328" w14:textId="77777777" w:rsidTr="00EA55A3">
        <w:tc>
          <w:tcPr>
            <w:tcW w:w="6836" w:type="dxa"/>
          </w:tcPr>
          <w:p w14:paraId="3ED157B5" w14:textId="77777777"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Развој специфичних  посебних програма за младе пољопривреднике и жене на селу</w:t>
            </w:r>
          </w:p>
        </w:tc>
        <w:tc>
          <w:tcPr>
            <w:tcW w:w="2181" w:type="dxa"/>
          </w:tcPr>
          <w:p w14:paraId="001EA382"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1.700.000,00</w:t>
            </w:r>
          </w:p>
        </w:tc>
      </w:tr>
      <w:tr w:rsidR="00EA55A3" w:rsidRPr="00EA55A3" w14:paraId="4F441864" w14:textId="77777777" w:rsidTr="00EA55A3">
        <w:tc>
          <w:tcPr>
            <w:tcW w:w="6836" w:type="dxa"/>
          </w:tcPr>
          <w:p w14:paraId="0FAFC077" w14:textId="3BBD629D"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Јачање предузетничких потенцијала,</w:t>
            </w:r>
            <w:r>
              <w:rPr>
                <w:rFonts w:ascii="Times New Roman" w:hAnsi="Times New Roman" w:cs="Times New Roman"/>
                <w:bCs/>
                <w:sz w:val="24"/>
                <w:szCs w:val="24"/>
                <w:lang w:val="sr-Cyrl-RS"/>
              </w:rPr>
              <w:t xml:space="preserve"> </w:t>
            </w:r>
            <w:r w:rsidRPr="00EA55A3">
              <w:rPr>
                <w:rFonts w:ascii="Times New Roman" w:hAnsi="Times New Roman" w:cs="Times New Roman"/>
                <w:bCs/>
                <w:sz w:val="24"/>
                <w:szCs w:val="24"/>
                <w:lang w:val="sr-Cyrl-RS"/>
              </w:rPr>
              <w:t>социјалног предузетништва,</w:t>
            </w:r>
            <w:r w:rsidRPr="00EA55A3">
              <w:rPr>
                <w:rFonts w:ascii="Times New Roman" w:hAnsi="Times New Roman" w:cs="Times New Roman"/>
                <w:sz w:val="24"/>
                <w:szCs w:val="24"/>
              </w:rPr>
              <w:t xml:space="preserve"> </w:t>
            </w:r>
            <w:r w:rsidRPr="00EA55A3">
              <w:rPr>
                <w:rFonts w:ascii="Times New Roman" w:hAnsi="Times New Roman" w:cs="Times New Roman"/>
                <w:sz w:val="24"/>
                <w:szCs w:val="24"/>
                <w:lang w:val="sr-Cyrl-RS"/>
              </w:rPr>
              <w:t xml:space="preserve"> могућност </w:t>
            </w:r>
            <w:r w:rsidRPr="00EA55A3">
              <w:rPr>
                <w:rFonts w:ascii="Times New Roman" w:hAnsi="Times New Roman" w:cs="Times New Roman"/>
                <w:bCs/>
                <w:sz w:val="24"/>
                <w:szCs w:val="24"/>
              </w:rPr>
              <w:t>примен</w:t>
            </w:r>
            <w:r w:rsidRPr="00EA55A3">
              <w:rPr>
                <w:rFonts w:ascii="Times New Roman" w:hAnsi="Times New Roman" w:cs="Times New Roman"/>
                <w:bCs/>
                <w:sz w:val="24"/>
                <w:szCs w:val="24"/>
                <w:lang w:val="sr-Cyrl-RS"/>
              </w:rPr>
              <w:t>е иновација</w:t>
            </w:r>
            <w:r>
              <w:rPr>
                <w:rFonts w:ascii="Times New Roman" w:hAnsi="Times New Roman" w:cs="Times New Roman"/>
                <w:bCs/>
                <w:sz w:val="24"/>
                <w:szCs w:val="24"/>
                <w:lang w:val="sr-Cyrl-RS"/>
              </w:rPr>
              <w:t xml:space="preserve"> –</w:t>
            </w:r>
            <w:r w:rsidRPr="00EA55A3">
              <w:rPr>
                <w:rFonts w:ascii="Times New Roman" w:hAnsi="Times New Roman" w:cs="Times New Roman"/>
                <w:bCs/>
                <w:sz w:val="24"/>
                <w:szCs w:val="24"/>
              </w:rPr>
              <w:t xml:space="preserve"> нових технологија</w:t>
            </w:r>
            <w:r w:rsidRPr="00EA55A3">
              <w:rPr>
                <w:rFonts w:ascii="Times New Roman" w:hAnsi="Times New Roman" w:cs="Times New Roman"/>
                <w:bCs/>
                <w:sz w:val="24"/>
                <w:szCs w:val="24"/>
                <w:lang w:val="sr-Cyrl-RS"/>
              </w:rPr>
              <w:t>,</w:t>
            </w:r>
            <w:r w:rsidRPr="00EA55A3">
              <w:rPr>
                <w:rFonts w:ascii="Times New Roman" w:hAnsi="Times New Roman" w:cs="Times New Roman"/>
                <w:sz w:val="24"/>
                <w:szCs w:val="24"/>
              </w:rPr>
              <w:t xml:space="preserve"> </w:t>
            </w:r>
            <w:r w:rsidRPr="00EA55A3">
              <w:rPr>
                <w:rFonts w:ascii="Times New Roman" w:hAnsi="Times New Roman" w:cs="Times New Roman"/>
                <w:bCs/>
                <w:sz w:val="24"/>
                <w:szCs w:val="24"/>
              </w:rPr>
              <w:t>увођење сертификата, усаглашеност са стандардима и директивама</w:t>
            </w:r>
          </w:p>
        </w:tc>
        <w:tc>
          <w:tcPr>
            <w:tcW w:w="2181" w:type="dxa"/>
          </w:tcPr>
          <w:p w14:paraId="6477494E"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1.800.000,00</w:t>
            </w:r>
          </w:p>
        </w:tc>
      </w:tr>
      <w:tr w:rsidR="00EA55A3" w:rsidRPr="00EA55A3" w14:paraId="421E386C" w14:textId="77777777" w:rsidTr="00EA55A3">
        <w:tc>
          <w:tcPr>
            <w:tcW w:w="6836" w:type="dxa"/>
          </w:tcPr>
          <w:p w14:paraId="0268931E" w14:textId="08011CF8"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Развој пословне инфраструктуре „Производно</w:t>
            </w:r>
            <w:r>
              <w:rPr>
                <w:rFonts w:ascii="Times New Roman" w:hAnsi="Times New Roman" w:cs="Times New Roman"/>
                <w:bCs/>
                <w:sz w:val="24"/>
                <w:szCs w:val="24"/>
                <w:lang w:val="sr-Cyrl-RS"/>
              </w:rPr>
              <w:t xml:space="preserve"> – </w:t>
            </w:r>
            <w:r w:rsidRPr="00EA55A3">
              <w:rPr>
                <w:rFonts w:ascii="Times New Roman" w:hAnsi="Times New Roman" w:cs="Times New Roman"/>
                <w:bCs/>
                <w:sz w:val="24"/>
                <w:szCs w:val="24"/>
                <w:lang w:val="sr-Cyrl-RS"/>
              </w:rPr>
              <w:t>едукативни центар за развој и промоцију подручја ЛАГ“</w:t>
            </w:r>
          </w:p>
        </w:tc>
        <w:tc>
          <w:tcPr>
            <w:tcW w:w="2181" w:type="dxa"/>
          </w:tcPr>
          <w:p w14:paraId="00E090C3"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 xml:space="preserve">5.000.000,00 </w:t>
            </w:r>
          </w:p>
        </w:tc>
      </w:tr>
      <w:tr w:rsidR="00EA55A3" w:rsidRPr="00EA55A3" w14:paraId="4CFAA644" w14:textId="77777777" w:rsidTr="00EA55A3">
        <w:tc>
          <w:tcPr>
            <w:tcW w:w="6836" w:type="dxa"/>
          </w:tcPr>
          <w:p w14:paraId="1C675ED2" w14:textId="77777777" w:rsidR="00EA55A3" w:rsidRPr="00EA55A3" w:rsidRDefault="00EA55A3" w:rsidP="002D695B">
            <w:pPr>
              <w:rPr>
                <w:rFonts w:ascii="Times New Roman" w:hAnsi="Times New Roman" w:cs="Times New Roman"/>
                <w:sz w:val="24"/>
                <w:szCs w:val="24"/>
              </w:rPr>
            </w:pPr>
            <w:r w:rsidRPr="00EA55A3">
              <w:rPr>
                <w:rFonts w:ascii="Times New Roman" w:hAnsi="Times New Roman" w:cs="Times New Roman"/>
                <w:bCs/>
                <w:sz w:val="24"/>
                <w:szCs w:val="24"/>
                <w:lang w:val="sr-Cyrl-RS"/>
              </w:rPr>
              <w:t>И</w:t>
            </w:r>
            <w:r w:rsidRPr="00EA55A3">
              <w:rPr>
                <w:rFonts w:ascii="Times New Roman" w:hAnsi="Times New Roman" w:cs="Times New Roman"/>
                <w:bCs/>
                <w:sz w:val="24"/>
                <w:szCs w:val="24"/>
              </w:rPr>
              <w:t>дентифик</w:t>
            </w:r>
            <w:r w:rsidRPr="00EA55A3">
              <w:rPr>
                <w:rFonts w:ascii="Times New Roman" w:hAnsi="Times New Roman" w:cs="Times New Roman"/>
                <w:bCs/>
                <w:sz w:val="24"/>
                <w:szCs w:val="24"/>
                <w:lang w:val="sr-Cyrl-RS"/>
              </w:rPr>
              <w:t>ација</w:t>
            </w:r>
            <w:r w:rsidRPr="00EA55A3">
              <w:rPr>
                <w:rFonts w:ascii="Times New Roman" w:hAnsi="Times New Roman" w:cs="Times New Roman"/>
                <w:bCs/>
                <w:sz w:val="24"/>
                <w:szCs w:val="24"/>
              </w:rPr>
              <w:t xml:space="preserve"> услов</w:t>
            </w:r>
            <w:r w:rsidRPr="00EA55A3">
              <w:rPr>
                <w:rFonts w:ascii="Times New Roman" w:hAnsi="Times New Roman" w:cs="Times New Roman"/>
                <w:bCs/>
                <w:sz w:val="24"/>
                <w:szCs w:val="24"/>
                <w:lang w:val="sr-Cyrl-RS"/>
              </w:rPr>
              <w:t>а</w:t>
            </w:r>
            <w:r w:rsidRPr="00EA55A3">
              <w:rPr>
                <w:rFonts w:ascii="Times New Roman" w:hAnsi="Times New Roman" w:cs="Times New Roman"/>
                <w:bCs/>
                <w:sz w:val="24"/>
                <w:szCs w:val="24"/>
              </w:rPr>
              <w:t xml:space="preserve"> и инструмен</w:t>
            </w:r>
            <w:r w:rsidRPr="00EA55A3">
              <w:rPr>
                <w:rFonts w:ascii="Times New Roman" w:hAnsi="Times New Roman" w:cs="Times New Roman"/>
                <w:bCs/>
                <w:sz w:val="24"/>
                <w:szCs w:val="24"/>
                <w:lang w:val="sr-Cyrl-RS"/>
              </w:rPr>
              <w:t>ата</w:t>
            </w:r>
            <w:r w:rsidRPr="00EA55A3">
              <w:rPr>
                <w:rFonts w:ascii="Times New Roman" w:hAnsi="Times New Roman" w:cs="Times New Roman"/>
                <w:bCs/>
                <w:sz w:val="24"/>
                <w:szCs w:val="24"/>
              </w:rPr>
              <w:t xml:space="preserve"> за дугорочно одрживи туризам у  подручју, подст</w:t>
            </w:r>
            <w:r w:rsidRPr="00EA55A3">
              <w:rPr>
                <w:rFonts w:ascii="Times New Roman" w:hAnsi="Times New Roman" w:cs="Times New Roman"/>
                <w:bCs/>
                <w:sz w:val="24"/>
                <w:szCs w:val="24"/>
                <w:lang w:val="sr-Cyrl-RS"/>
              </w:rPr>
              <w:t>ицај</w:t>
            </w:r>
            <w:r w:rsidRPr="00EA55A3">
              <w:rPr>
                <w:rFonts w:ascii="Times New Roman" w:hAnsi="Times New Roman" w:cs="Times New Roman"/>
                <w:bCs/>
                <w:sz w:val="24"/>
                <w:szCs w:val="24"/>
              </w:rPr>
              <w:t xml:space="preserve"> иницијатив</w:t>
            </w:r>
            <w:r w:rsidRPr="00EA55A3">
              <w:rPr>
                <w:rFonts w:ascii="Times New Roman" w:hAnsi="Times New Roman" w:cs="Times New Roman"/>
                <w:bCs/>
                <w:sz w:val="24"/>
                <w:szCs w:val="24"/>
                <w:lang w:val="sr-Cyrl-RS"/>
              </w:rPr>
              <w:t>а</w:t>
            </w:r>
            <w:r w:rsidRPr="00EA55A3">
              <w:rPr>
                <w:rFonts w:ascii="Times New Roman" w:hAnsi="Times New Roman" w:cs="Times New Roman"/>
                <w:bCs/>
                <w:sz w:val="24"/>
                <w:szCs w:val="24"/>
              </w:rPr>
              <w:t xml:space="preserve"> за одрживо управљање туристичким ресурсима</w:t>
            </w:r>
            <w:r w:rsidRPr="00EA55A3">
              <w:rPr>
                <w:rFonts w:ascii="Times New Roman" w:hAnsi="Times New Roman" w:cs="Times New Roman"/>
                <w:bCs/>
                <w:sz w:val="24"/>
                <w:szCs w:val="24"/>
                <w:lang w:val="sr-Cyrl-RS"/>
              </w:rPr>
              <w:t>,осмишљавање и развој заједничке туристичке понуде и промоција подручја</w:t>
            </w:r>
          </w:p>
        </w:tc>
        <w:tc>
          <w:tcPr>
            <w:tcW w:w="2181" w:type="dxa"/>
          </w:tcPr>
          <w:p w14:paraId="44AD71FC"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1.300.000,00</w:t>
            </w:r>
          </w:p>
        </w:tc>
      </w:tr>
      <w:tr w:rsidR="00EA55A3" w:rsidRPr="00EA55A3" w14:paraId="1ADE06CE" w14:textId="77777777" w:rsidTr="00EA55A3">
        <w:tc>
          <w:tcPr>
            <w:tcW w:w="6836" w:type="dxa"/>
          </w:tcPr>
          <w:p w14:paraId="46C950C0" w14:textId="77777777"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rPr>
              <w:t>Развој и унапређење</w:t>
            </w:r>
            <w:r w:rsidRPr="00EA55A3">
              <w:rPr>
                <w:rFonts w:ascii="Times New Roman" w:hAnsi="Times New Roman" w:cs="Times New Roman"/>
                <w:bCs/>
                <w:sz w:val="24"/>
                <w:szCs w:val="24"/>
                <w:lang w:val="sr-Cyrl-RS"/>
              </w:rPr>
              <w:t>,</w:t>
            </w:r>
            <w:r w:rsidRPr="00EA55A3">
              <w:rPr>
                <w:rFonts w:ascii="Times New Roman" w:hAnsi="Times New Roman" w:cs="Times New Roman"/>
                <w:bCs/>
                <w:sz w:val="24"/>
                <w:szCs w:val="24"/>
              </w:rPr>
              <w:t xml:space="preserve"> друштвене инфраструктуре</w:t>
            </w:r>
            <w:r w:rsidRPr="00EA55A3">
              <w:rPr>
                <w:rFonts w:ascii="Times New Roman" w:hAnsi="Times New Roman" w:cs="Times New Roman"/>
                <w:bCs/>
                <w:sz w:val="24"/>
                <w:szCs w:val="24"/>
                <w:lang w:val="sr-Cyrl-RS"/>
              </w:rPr>
              <w:t>,</w:t>
            </w:r>
          </w:p>
          <w:p w14:paraId="0A63AC63" w14:textId="6111DDCA" w:rsidR="00EA55A3" w:rsidRPr="00EA55A3" w:rsidRDefault="00EA55A3" w:rsidP="002D695B">
            <w:pPr>
              <w:rPr>
                <w:rFonts w:ascii="Times New Roman" w:hAnsi="Times New Roman" w:cs="Times New Roman"/>
                <w:bCs/>
                <w:sz w:val="24"/>
                <w:szCs w:val="24"/>
              </w:rPr>
            </w:pPr>
            <w:r w:rsidRPr="00EA55A3">
              <w:rPr>
                <w:rFonts w:ascii="Times New Roman" w:hAnsi="Times New Roman" w:cs="Times New Roman"/>
                <w:bCs/>
                <w:sz w:val="24"/>
                <w:szCs w:val="24"/>
                <w:lang w:val="sr-Cyrl-RS"/>
              </w:rPr>
              <w:t>п</w:t>
            </w:r>
            <w:r w:rsidRPr="00EA55A3">
              <w:rPr>
                <w:rFonts w:ascii="Times New Roman" w:hAnsi="Times New Roman" w:cs="Times New Roman"/>
                <w:bCs/>
                <w:sz w:val="24"/>
                <w:szCs w:val="24"/>
              </w:rPr>
              <w:t>одстицај и развој непољопривредних делатности уруралним заједницама</w:t>
            </w:r>
          </w:p>
        </w:tc>
        <w:tc>
          <w:tcPr>
            <w:tcW w:w="2181" w:type="dxa"/>
          </w:tcPr>
          <w:p w14:paraId="2CD8F93B"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900.000,00</w:t>
            </w:r>
          </w:p>
        </w:tc>
      </w:tr>
      <w:tr w:rsidR="00EA55A3" w:rsidRPr="00EA55A3" w14:paraId="54E915CE" w14:textId="77777777" w:rsidTr="00EA55A3">
        <w:tc>
          <w:tcPr>
            <w:tcW w:w="6836" w:type="dxa"/>
          </w:tcPr>
          <w:p w14:paraId="52B7D36B" w14:textId="77777777"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Подстицање и подршка образовању свих старосних доба људи –унапређење образовне структуре и компетенција  у складу са тржишним потребама</w:t>
            </w:r>
          </w:p>
        </w:tc>
        <w:tc>
          <w:tcPr>
            <w:tcW w:w="2181" w:type="dxa"/>
          </w:tcPr>
          <w:p w14:paraId="71368DC1"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700.000,00</w:t>
            </w:r>
          </w:p>
        </w:tc>
      </w:tr>
      <w:tr w:rsidR="00EA55A3" w:rsidRPr="00EA55A3" w14:paraId="4F413772" w14:textId="77777777" w:rsidTr="00EA55A3">
        <w:tc>
          <w:tcPr>
            <w:tcW w:w="6836" w:type="dxa"/>
          </w:tcPr>
          <w:p w14:paraId="62EF071A" w14:textId="057669A6"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Побољшање квалитета живота маргинализованих и рањивих друштвених група, подстицање превентивне здравствене заштите и подршка здравом начину живота.</w:t>
            </w:r>
          </w:p>
        </w:tc>
        <w:tc>
          <w:tcPr>
            <w:tcW w:w="2181" w:type="dxa"/>
          </w:tcPr>
          <w:p w14:paraId="06F06437"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500.000,00</w:t>
            </w:r>
          </w:p>
        </w:tc>
      </w:tr>
      <w:tr w:rsidR="00EA55A3" w:rsidRPr="00EA55A3" w14:paraId="2132C438" w14:textId="77777777" w:rsidTr="00EA55A3">
        <w:tc>
          <w:tcPr>
            <w:tcW w:w="6836" w:type="dxa"/>
          </w:tcPr>
          <w:p w14:paraId="4E371D2F" w14:textId="2ABFC1EC"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rPr>
              <w:t>Развој система за праћење стања и заштиту животне средине</w:t>
            </w:r>
            <w:r w:rsidRPr="00EA55A3">
              <w:rPr>
                <w:rFonts w:ascii="Times New Roman" w:hAnsi="Times New Roman" w:cs="Times New Roman"/>
                <w:bCs/>
                <w:sz w:val="24"/>
                <w:szCs w:val="24"/>
                <w:lang w:val="sr-Cyrl-RS"/>
              </w:rPr>
              <w:t xml:space="preserve"> и повећање знања, вештина и мотивисаности становника о заштити и очувању природних ресурса</w:t>
            </w:r>
          </w:p>
        </w:tc>
        <w:tc>
          <w:tcPr>
            <w:tcW w:w="2181" w:type="dxa"/>
          </w:tcPr>
          <w:p w14:paraId="336768F8" w14:textId="77777777" w:rsidR="00EA55A3" w:rsidRPr="00EA55A3" w:rsidRDefault="00EA55A3" w:rsidP="002D695B">
            <w:pPr>
              <w:jc w:val="center"/>
              <w:rPr>
                <w:rFonts w:ascii="Times New Roman" w:hAnsi="Times New Roman" w:cs="Times New Roman"/>
                <w:sz w:val="24"/>
                <w:szCs w:val="24"/>
              </w:rPr>
            </w:pPr>
            <w:r w:rsidRPr="00EA55A3">
              <w:rPr>
                <w:rFonts w:ascii="Times New Roman" w:hAnsi="Times New Roman" w:cs="Times New Roman"/>
                <w:bCs/>
                <w:sz w:val="24"/>
                <w:szCs w:val="24"/>
                <w:lang w:val="sr-Cyrl-RS"/>
              </w:rPr>
              <w:t>2.500.000,00</w:t>
            </w:r>
          </w:p>
        </w:tc>
      </w:tr>
      <w:tr w:rsidR="00EA55A3" w:rsidRPr="00EA55A3" w14:paraId="117359E8" w14:textId="77777777" w:rsidTr="00EA55A3">
        <w:tc>
          <w:tcPr>
            <w:tcW w:w="6836" w:type="dxa"/>
          </w:tcPr>
          <w:p w14:paraId="339E4ED1" w14:textId="77777777"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Подстицање коришчења обновљивих извора енергије</w:t>
            </w:r>
          </w:p>
          <w:p w14:paraId="21C6AA63" w14:textId="197F528E"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и промовисање енергетске ефикасности</w:t>
            </w:r>
          </w:p>
        </w:tc>
        <w:tc>
          <w:tcPr>
            <w:tcW w:w="2181" w:type="dxa"/>
          </w:tcPr>
          <w:p w14:paraId="5D834ED0" w14:textId="77777777" w:rsidR="00EA55A3" w:rsidRPr="00EA55A3" w:rsidRDefault="00EA55A3" w:rsidP="002D695B">
            <w:pPr>
              <w:jc w:val="cente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1.600.000,00</w:t>
            </w:r>
          </w:p>
        </w:tc>
      </w:tr>
      <w:tr w:rsidR="00EA55A3" w:rsidRPr="00EA55A3" w14:paraId="34C5388F" w14:textId="77777777" w:rsidTr="00EA55A3">
        <w:tc>
          <w:tcPr>
            <w:tcW w:w="6836" w:type="dxa"/>
          </w:tcPr>
          <w:p w14:paraId="114CD2AE" w14:textId="77777777" w:rsidR="00EA55A3" w:rsidRPr="00EA55A3" w:rsidRDefault="00EA55A3" w:rsidP="002D695B">
            <w:pP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Одржво коришчење и заштита културне баштине</w:t>
            </w:r>
          </w:p>
        </w:tc>
        <w:tc>
          <w:tcPr>
            <w:tcW w:w="2181" w:type="dxa"/>
          </w:tcPr>
          <w:p w14:paraId="4B3B15EE" w14:textId="77777777" w:rsidR="00EA55A3" w:rsidRPr="00EA55A3" w:rsidRDefault="00EA55A3" w:rsidP="002D695B">
            <w:pPr>
              <w:jc w:val="center"/>
              <w:rPr>
                <w:rFonts w:ascii="Times New Roman" w:hAnsi="Times New Roman" w:cs="Times New Roman"/>
                <w:bCs/>
                <w:sz w:val="24"/>
                <w:szCs w:val="24"/>
                <w:lang w:val="sr-Cyrl-RS"/>
              </w:rPr>
            </w:pPr>
            <w:r w:rsidRPr="00EA55A3">
              <w:rPr>
                <w:rFonts w:ascii="Times New Roman" w:hAnsi="Times New Roman" w:cs="Times New Roman"/>
                <w:bCs/>
                <w:sz w:val="24"/>
                <w:szCs w:val="24"/>
                <w:lang w:val="sr-Cyrl-RS"/>
              </w:rPr>
              <w:t>2.200.000,00</w:t>
            </w:r>
          </w:p>
        </w:tc>
      </w:tr>
      <w:tr w:rsidR="00EA55A3" w:rsidRPr="00C576B2" w14:paraId="0D3EA238" w14:textId="77777777" w:rsidTr="00C576B2">
        <w:trPr>
          <w:trHeight w:val="463"/>
        </w:trPr>
        <w:tc>
          <w:tcPr>
            <w:tcW w:w="6836" w:type="dxa"/>
            <w:vAlign w:val="center"/>
          </w:tcPr>
          <w:p w14:paraId="0D178B69" w14:textId="77777777" w:rsidR="00EA55A3" w:rsidRPr="00C576B2" w:rsidRDefault="00EA55A3" w:rsidP="00C576B2">
            <w:pPr>
              <w:rPr>
                <w:rFonts w:ascii="Times New Roman" w:hAnsi="Times New Roman" w:cs="Times New Roman"/>
                <w:b/>
                <w:sz w:val="24"/>
                <w:szCs w:val="24"/>
                <w:lang w:val="sr-Cyrl-RS"/>
              </w:rPr>
            </w:pPr>
            <w:r w:rsidRPr="00C576B2">
              <w:rPr>
                <w:rFonts w:ascii="Times New Roman" w:hAnsi="Times New Roman" w:cs="Times New Roman"/>
                <w:b/>
                <w:sz w:val="24"/>
                <w:szCs w:val="24"/>
                <w:lang w:val="sr-Cyrl-RS"/>
              </w:rPr>
              <w:t>Укупно</w:t>
            </w:r>
          </w:p>
        </w:tc>
        <w:tc>
          <w:tcPr>
            <w:tcW w:w="2181" w:type="dxa"/>
            <w:vAlign w:val="center"/>
          </w:tcPr>
          <w:p w14:paraId="5B4BFD3B" w14:textId="77777777" w:rsidR="00EA55A3" w:rsidRPr="00C576B2" w:rsidRDefault="00EA55A3" w:rsidP="00C576B2">
            <w:pPr>
              <w:jc w:val="center"/>
              <w:rPr>
                <w:rFonts w:ascii="Times New Roman" w:hAnsi="Times New Roman" w:cs="Times New Roman"/>
                <w:b/>
                <w:sz w:val="24"/>
                <w:szCs w:val="24"/>
                <w:lang w:val="sr-Cyrl-RS"/>
              </w:rPr>
            </w:pPr>
            <w:r w:rsidRPr="00C576B2">
              <w:rPr>
                <w:rFonts w:ascii="Times New Roman" w:hAnsi="Times New Roman" w:cs="Times New Roman"/>
                <w:b/>
                <w:sz w:val="24"/>
                <w:szCs w:val="24"/>
                <w:lang w:val="sr-Cyrl-RS"/>
              </w:rPr>
              <w:t>22.600.000,00</w:t>
            </w:r>
          </w:p>
        </w:tc>
      </w:tr>
    </w:tbl>
    <w:p w14:paraId="4E382476" w14:textId="3755FE31" w:rsidR="00EA55A3" w:rsidRPr="00FF3E5E" w:rsidRDefault="00EA55A3" w:rsidP="00FF3E5E">
      <w:pPr>
        <w:pStyle w:val="-2"/>
      </w:pPr>
      <w:bookmarkStart w:id="51" w:name="_Toc55208057"/>
      <w:r>
        <w:t>б)</w:t>
      </w:r>
      <w:r w:rsidR="00FF3E5E">
        <w:t xml:space="preserve"> </w:t>
      </w:r>
      <w:r w:rsidRPr="00406D72">
        <w:t>Финансијски план за финансирање рада канцеларије</w:t>
      </w:r>
      <w:r>
        <w:t xml:space="preserve"> за три године</w:t>
      </w:r>
      <w:r w:rsidR="00FF3E5E">
        <w:t xml:space="preserve"> </w:t>
      </w:r>
      <w:r>
        <w:t>(2021-202</w:t>
      </w:r>
      <w:r w:rsidR="00FF3E5E">
        <w:t xml:space="preserve">3) </w:t>
      </w:r>
      <w:r>
        <w:rPr>
          <w:rFonts w:eastAsia="Times New Roman"/>
          <w:szCs w:val="24"/>
        </w:rPr>
        <w:t>вредности у таблици су исказане за једну годину</w:t>
      </w:r>
      <w:bookmarkEnd w:id="51"/>
    </w:p>
    <w:tbl>
      <w:tblPr>
        <w:tblStyle w:val="TableGrid1"/>
        <w:tblW w:w="5000" w:type="pct"/>
        <w:tblLayout w:type="fixed"/>
        <w:tblLook w:val="04A0" w:firstRow="1" w:lastRow="0" w:firstColumn="1" w:lastColumn="0" w:noHBand="0" w:noVBand="1"/>
      </w:tblPr>
      <w:tblGrid>
        <w:gridCol w:w="6910"/>
        <w:gridCol w:w="2333"/>
      </w:tblGrid>
      <w:tr w:rsidR="00EA55A3" w:rsidRPr="00406D72" w14:paraId="2F2C0900" w14:textId="77777777" w:rsidTr="00DF574A">
        <w:tc>
          <w:tcPr>
            <w:tcW w:w="7218" w:type="dxa"/>
            <w:shd w:val="clear" w:color="auto" w:fill="9CC2E5" w:themeFill="accent5" w:themeFillTint="99"/>
            <w:vAlign w:val="center"/>
          </w:tcPr>
          <w:p w14:paraId="5ADB98F5" w14:textId="77777777" w:rsidR="00EA55A3" w:rsidRPr="00406D72" w:rsidRDefault="00EA55A3" w:rsidP="00DF574A">
            <w:pPr>
              <w:jc w:val="center"/>
              <w:rPr>
                <w:rFonts w:ascii="Times New Roman" w:hAnsi="Times New Roman" w:cs="Times New Roman"/>
                <w:b/>
                <w:sz w:val="24"/>
                <w:szCs w:val="24"/>
              </w:rPr>
            </w:pPr>
            <w:r w:rsidRPr="00406D72">
              <w:rPr>
                <w:rFonts w:ascii="Times New Roman" w:hAnsi="Times New Roman" w:cs="Times New Roman"/>
                <w:b/>
                <w:sz w:val="24"/>
                <w:szCs w:val="24"/>
              </w:rPr>
              <w:t>Назив трошка</w:t>
            </w:r>
          </w:p>
        </w:tc>
        <w:tc>
          <w:tcPr>
            <w:tcW w:w="2430" w:type="dxa"/>
            <w:shd w:val="clear" w:color="auto" w:fill="9CC2E5" w:themeFill="accent5" w:themeFillTint="99"/>
            <w:vAlign w:val="center"/>
          </w:tcPr>
          <w:p w14:paraId="3587E3E5" w14:textId="77777777" w:rsidR="00EA55A3" w:rsidRDefault="00EA55A3" w:rsidP="00DF574A">
            <w:pPr>
              <w:jc w:val="center"/>
              <w:rPr>
                <w:rFonts w:ascii="Times New Roman" w:hAnsi="Times New Roman" w:cs="Times New Roman"/>
                <w:b/>
                <w:sz w:val="24"/>
                <w:szCs w:val="24"/>
                <w:lang w:val="sr-Cyrl-RS"/>
              </w:rPr>
            </w:pPr>
            <w:r w:rsidRPr="00406D72">
              <w:rPr>
                <w:rFonts w:ascii="Times New Roman" w:hAnsi="Times New Roman" w:cs="Times New Roman"/>
                <w:b/>
                <w:sz w:val="24"/>
                <w:szCs w:val="24"/>
              </w:rPr>
              <w:t>Вредност трошка</w:t>
            </w:r>
          </w:p>
          <w:p w14:paraId="393E8974" w14:textId="56643D45" w:rsidR="00EA55A3" w:rsidRPr="00406D72" w:rsidRDefault="00312E5F" w:rsidP="00DF574A">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(дин)</w:t>
            </w:r>
          </w:p>
        </w:tc>
      </w:tr>
      <w:tr w:rsidR="00EA55A3" w:rsidRPr="00406D72" w14:paraId="1693DE34" w14:textId="77777777" w:rsidTr="00C576B2">
        <w:tc>
          <w:tcPr>
            <w:tcW w:w="7218" w:type="dxa"/>
          </w:tcPr>
          <w:p w14:paraId="47620104"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 xml:space="preserve">Годишња бруто плата Менаџера </w:t>
            </w:r>
          </w:p>
        </w:tc>
        <w:tc>
          <w:tcPr>
            <w:tcW w:w="2430" w:type="dxa"/>
          </w:tcPr>
          <w:p w14:paraId="15CDE340"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350.000,00</w:t>
            </w:r>
          </w:p>
        </w:tc>
      </w:tr>
      <w:tr w:rsidR="00EA55A3" w:rsidRPr="00406D72" w14:paraId="7FFE6148" w14:textId="77777777" w:rsidTr="00C576B2">
        <w:tc>
          <w:tcPr>
            <w:tcW w:w="7218" w:type="dxa"/>
          </w:tcPr>
          <w:p w14:paraId="41C01D19" w14:textId="77777777" w:rsidR="00EA55A3" w:rsidRPr="00406D72" w:rsidRDefault="00EA55A3" w:rsidP="002D695B">
            <w:pPr>
              <w:rPr>
                <w:rFonts w:ascii="Times New Roman" w:hAnsi="Times New Roman" w:cs="Times New Roman"/>
                <w:sz w:val="24"/>
                <w:szCs w:val="24"/>
                <w:lang w:val="sr-Cyrl-RS"/>
              </w:rPr>
            </w:pPr>
            <w:r w:rsidRPr="00406D72">
              <w:rPr>
                <w:rFonts w:ascii="Times New Roman" w:hAnsi="Times New Roman" w:cs="Times New Roman"/>
                <w:sz w:val="24"/>
                <w:szCs w:val="24"/>
              </w:rPr>
              <w:t>Комуникације интернет телефон</w:t>
            </w:r>
            <w:r>
              <w:rPr>
                <w:rFonts w:ascii="Times New Roman" w:hAnsi="Times New Roman" w:cs="Times New Roman"/>
                <w:sz w:val="24"/>
                <w:szCs w:val="24"/>
                <w:lang w:val="sr-Cyrl-RS"/>
              </w:rPr>
              <w:t xml:space="preserve">  </w:t>
            </w:r>
          </w:p>
        </w:tc>
        <w:tc>
          <w:tcPr>
            <w:tcW w:w="2430" w:type="dxa"/>
          </w:tcPr>
          <w:p w14:paraId="0229285E"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8</w:t>
            </w:r>
            <w:r w:rsidRPr="00277B38">
              <w:rPr>
                <w:rFonts w:ascii="Times New Roman" w:hAnsi="Times New Roman" w:cs="Times New Roman"/>
                <w:sz w:val="24"/>
                <w:szCs w:val="24"/>
                <w:lang w:val="sr-Cyrl-RS"/>
              </w:rPr>
              <w:t>6.000,00</w:t>
            </w:r>
          </w:p>
        </w:tc>
      </w:tr>
      <w:tr w:rsidR="00EA55A3" w:rsidRPr="00406D72" w14:paraId="0189C668" w14:textId="77777777" w:rsidTr="00C576B2">
        <w:tc>
          <w:tcPr>
            <w:tcW w:w="7218" w:type="dxa"/>
          </w:tcPr>
          <w:p w14:paraId="5CE6FDC5" w14:textId="77777777" w:rsidR="00EA55A3" w:rsidRPr="00406D72" w:rsidRDefault="00EA55A3" w:rsidP="002D695B">
            <w:pPr>
              <w:rPr>
                <w:rFonts w:ascii="Times New Roman" w:hAnsi="Times New Roman" w:cs="Times New Roman"/>
                <w:b/>
                <w:sz w:val="24"/>
                <w:szCs w:val="24"/>
                <w:lang w:val="sr-Cyrl-RS"/>
              </w:rPr>
            </w:pPr>
            <w:r w:rsidRPr="00406D72">
              <w:rPr>
                <w:rFonts w:ascii="Times New Roman" w:hAnsi="Times New Roman" w:cs="Times New Roman"/>
                <w:sz w:val="24"/>
                <w:szCs w:val="24"/>
              </w:rPr>
              <w:t>Канцелариски материјал</w:t>
            </w:r>
            <w:r>
              <w:rPr>
                <w:rFonts w:ascii="Times New Roman" w:hAnsi="Times New Roman" w:cs="Times New Roman"/>
                <w:sz w:val="24"/>
                <w:szCs w:val="24"/>
                <w:lang w:val="sr-Cyrl-RS"/>
              </w:rPr>
              <w:t xml:space="preserve"> </w:t>
            </w:r>
          </w:p>
        </w:tc>
        <w:tc>
          <w:tcPr>
            <w:tcW w:w="2430" w:type="dxa"/>
          </w:tcPr>
          <w:p w14:paraId="24A24DA7" w14:textId="77777777" w:rsidR="00EA55A3" w:rsidRPr="00406D72" w:rsidRDefault="00EA55A3" w:rsidP="002D695B">
            <w:pPr>
              <w:rPr>
                <w:rFonts w:ascii="Times New Roman" w:hAnsi="Times New Roman" w:cs="Times New Roman"/>
                <w:sz w:val="24"/>
                <w:szCs w:val="24"/>
                <w:lang w:val="sr-Cyrl-RS"/>
              </w:rPr>
            </w:pPr>
            <w:r w:rsidRPr="00277B38">
              <w:rPr>
                <w:rFonts w:ascii="Times New Roman" w:hAnsi="Times New Roman" w:cs="Times New Roman"/>
                <w:sz w:val="24"/>
                <w:szCs w:val="24"/>
                <w:lang w:val="sr-Cyrl-RS"/>
              </w:rPr>
              <w:t>30.000,00</w:t>
            </w:r>
          </w:p>
        </w:tc>
      </w:tr>
      <w:tr w:rsidR="00EA55A3" w:rsidRPr="00406D72" w14:paraId="24EE32F0" w14:textId="77777777" w:rsidTr="00C576B2">
        <w:tc>
          <w:tcPr>
            <w:tcW w:w="7218" w:type="dxa"/>
          </w:tcPr>
          <w:p w14:paraId="1D8D22E1" w14:textId="77777777" w:rsidR="00EA55A3" w:rsidRPr="00406D72" w:rsidRDefault="00EA55A3" w:rsidP="002D695B">
            <w:pPr>
              <w:rPr>
                <w:rFonts w:ascii="Times New Roman" w:hAnsi="Times New Roman" w:cs="Times New Roman"/>
                <w:sz w:val="24"/>
                <w:szCs w:val="24"/>
                <w:lang w:val="sr-Cyrl-RS"/>
              </w:rPr>
            </w:pPr>
            <w:r w:rsidRPr="00406D72">
              <w:rPr>
                <w:rFonts w:ascii="Times New Roman" w:hAnsi="Times New Roman" w:cs="Times New Roman"/>
                <w:sz w:val="24"/>
                <w:szCs w:val="24"/>
              </w:rPr>
              <w:t>Књиговодствене услуге</w:t>
            </w:r>
          </w:p>
        </w:tc>
        <w:tc>
          <w:tcPr>
            <w:tcW w:w="2430" w:type="dxa"/>
          </w:tcPr>
          <w:p w14:paraId="4A7FD3D3" w14:textId="77777777" w:rsidR="00EA55A3" w:rsidRPr="00406D72" w:rsidRDefault="00EA55A3" w:rsidP="002D695B">
            <w:pPr>
              <w:rPr>
                <w:rFonts w:ascii="Times New Roman" w:hAnsi="Times New Roman" w:cs="Times New Roman"/>
                <w:sz w:val="24"/>
                <w:szCs w:val="24"/>
                <w:lang w:val="sr-Cyrl-RS"/>
              </w:rPr>
            </w:pPr>
            <w:r w:rsidRPr="00277B38">
              <w:rPr>
                <w:rFonts w:ascii="Times New Roman" w:hAnsi="Times New Roman" w:cs="Times New Roman"/>
                <w:sz w:val="24"/>
                <w:szCs w:val="24"/>
                <w:lang w:val="sr-Cyrl-RS"/>
              </w:rPr>
              <w:t>50.000,00</w:t>
            </w:r>
          </w:p>
        </w:tc>
      </w:tr>
      <w:tr w:rsidR="00EA55A3" w:rsidRPr="00406D72" w14:paraId="4346CAA0" w14:textId="77777777" w:rsidTr="00C576B2">
        <w:tc>
          <w:tcPr>
            <w:tcW w:w="7218" w:type="dxa"/>
          </w:tcPr>
          <w:p w14:paraId="6124E4EC" w14:textId="77777777" w:rsidR="00EA55A3" w:rsidRPr="00406D72" w:rsidRDefault="00EA55A3" w:rsidP="002D695B">
            <w:pPr>
              <w:rPr>
                <w:rFonts w:ascii="Times New Roman" w:hAnsi="Times New Roman" w:cs="Times New Roman"/>
                <w:sz w:val="24"/>
                <w:szCs w:val="24"/>
                <w:lang w:val="sr-Cyrl-RS"/>
              </w:rPr>
            </w:pPr>
            <w:r w:rsidRPr="00406D72">
              <w:rPr>
                <w:rFonts w:ascii="Times New Roman" w:hAnsi="Times New Roman" w:cs="Times New Roman"/>
                <w:sz w:val="24"/>
                <w:szCs w:val="24"/>
              </w:rPr>
              <w:t>Режиске услуге</w:t>
            </w:r>
            <w:r>
              <w:rPr>
                <w:rFonts w:ascii="Times New Roman" w:hAnsi="Times New Roman" w:cs="Times New Roman"/>
                <w:sz w:val="24"/>
                <w:szCs w:val="24"/>
                <w:lang w:val="sr-Cyrl-RS"/>
              </w:rPr>
              <w:t xml:space="preserve"> </w:t>
            </w:r>
          </w:p>
        </w:tc>
        <w:tc>
          <w:tcPr>
            <w:tcW w:w="2430" w:type="dxa"/>
          </w:tcPr>
          <w:p w14:paraId="5F6F135D" w14:textId="77777777" w:rsidR="00EA55A3" w:rsidRPr="00406D72" w:rsidRDefault="00EA55A3" w:rsidP="002D695B">
            <w:pPr>
              <w:rPr>
                <w:rFonts w:ascii="Times New Roman" w:hAnsi="Times New Roman" w:cs="Times New Roman"/>
                <w:sz w:val="24"/>
                <w:szCs w:val="24"/>
                <w:lang w:val="sr-Cyrl-RS"/>
              </w:rPr>
            </w:pPr>
            <w:r w:rsidRPr="00277B38">
              <w:rPr>
                <w:rFonts w:ascii="Times New Roman" w:hAnsi="Times New Roman" w:cs="Times New Roman"/>
                <w:sz w:val="24"/>
                <w:szCs w:val="24"/>
                <w:lang w:val="sr-Cyrl-RS"/>
              </w:rPr>
              <w:t>70.000,00</w:t>
            </w:r>
          </w:p>
        </w:tc>
      </w:tr>
      <w:tr w:rsidR="00EA55A3" w:rsidRPr="00406D72" w14:paraId="6CDC6515" w14:textId="77777777" w:rsidTr="00C576B2">
        <w:tc>
          <w:tcPr>
            <w:tcW w:w="7218" w:type="dxa"/>
          </w:tcPr>
          <w:p w14:paraId="0DD82EED"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Трошкови дизајнирања и штампања промо и инфо материјала</w:t>
            </w:r>
          </w:p>
        </w:tc>
        <w:tc>
          <w:tcPr>
            <w:tcW w:w="2430" w:type="dxa"/>
          </w:tcPr>
          <w:p w14:paraId="398CE28F"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9</w:t>
            </w:r>
            <w:r w:rsidRPr="00277B38">
              <w:rPr>
                <w:rFonts w:ascii="Times New Roman" w:hAnsi="Times New Roman" w:cs="Times New Roman"/>
                <w:sz w:val="24"/>
                <w:szCs w:val="24"/>
                <w:lang w:val="sr-Cyrl-RS"/>
              </w:rPr>
              <w:t>0.000,00</w:t>
            </w:r>
          </w:p>
        </w:tc>
      </w:tr>
      <w:tr w:rsidR="00EA55A3" w:rsidRPr="00406D72" w14:paraId="45827D35" w14:textId="77777777" w:rsidTr="00C576B2">
        <w:tc>
          <w:tcPr>
            <w:tcW w:w="7218" w:type="dxa"/>
          </w:tcPr>
          <w:p w14:paraId="5E1ECE5D"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Службена и студиска путовања у земљи и иностранству</w:t>
            </w:r>
          </w:p>
        </w:tc>
        <w:tc>
          <w:tcPr>
            <w:tcW w:w="2430" w:type="dxa"/>
          </w:tcPr>
          <w:p w14:paraId="5EDFA9D0"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1</w:t>
            </w:r>
            <w:r w:rsidRPr="00277B38">
              <w:rPr>
                <w:rFonts w:ascii="Times New Roman" w:hAnsi="Times New Roman" w:cs="Times New Roman"/>
                <w:sz w:val="24"/>
                <w:szCs w:val="24"/>
                <w:lang w:val="sr-Cyrl-RS"/>
              </w:rPr>
              <w:t>50.000,00</w:t>
            </w:r>
          </w:p>
        </w:tc>
      </w:tr>
      <w:tr w:rsidR="00EA55A3" w:rsidRPr="00406D72" w14:paraId="57916A81" w14:textId="77777777" w:rsidTr="00C576B2">
        <w:tc>
          <w:tcPr>
            <w:tcW w:w="7218" w:type="dxa"/>
          </w:tcPr>
          <w:p w14:paraId="3A0A42A1"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Гориво и коришћење сопственог возила</w:t>
            </w:r>
          </w:p>
        </w:tc>
        <w:tc>
          <w:tcPr>
            <w:tcW w:w="2430" w:type="dxa"/>
          </w:tcPr>
          <w:p w14:paraId="36AAF54D" w14:textId="77777777" w:rsidR="00EA55A3" w:rsidRPr="00406D72" w:rsidRDefault="00EA55A3" w:rsidP="002D695B">
            <w:pPr>
              <w:rPr>
                <w:rFonts w:ascii="Times New Roman" w:hAnsi="Times New Roman" w:cs="Times New Roman"/>
                <w:sz w:val="24"/>
                <w:szCs w:val="24"/>
                <w:lang w:val="sr-Cyrl-RS"/>
              </w:rPr>
            </w:pPr>
            <w:r w:rsidRPr="00277B38">
              <w:rPr>
                <w:rFonts w:ascii="Times New Roman" w:hAnsi="Times New Roman" w:cs="Times New Roman"/>
                <w:sz w:val="24"/>
                <w:szCs w:val="24"/>
                <w:lang w:val="sr-Cyrl-RS"/>
              </w:rPr>
              <w:t>120.000,00</w:t>
            </w:r>
          </w:p>
        </w:tc>
      </w:tr>
      <w:tr w:rsidR="00EA55A3" w:rsidRPr="00406D72" w14:paraId="74DE8312" w14:textId="77777777" w:rsidTr="00C576B2">
        <w:tc>
          <w:tcPr>
            <w:tcW w:w="7218" w:type="dxa"/>
          </w:tcPr>
          <w:p w14:paraId="00AFC769"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Репрезентација</w:t>
            </w:r>
          </w:p>
        </w:tc>
        <w:tc>
          <w:tcPr>
            <w:tcW w:w="2430" w:type="dxa"/>
          </w:tcPr>
          <w:p w14:paraId="7281B3E0" w14:textId="77777777" w:rsidR="00EA55A3" w:rsidRPr="00406D72" w:rsidRDefault="00EA55A3" w:rsidP="002D695B">
            <w:pPr>
              <w:rPr>
                <w:rFonts w:ascii="Times New Roman" w:hAnsi="Times New Roman" w:cs="Times New Roman"/>
                <w:sz w:val="24"/>
                <w:szCs w:val="24"/>
                <w:lang w:val="sr-Cyrl-RS"/>
              </w:rPr>
            </w:pPr>
            <w:r w:rsidRPr="00277B38">
              <w:rPr>
                <w:rFonts w:ascii="Times New Roman" w:hAnsi="Times New Roman" w:cs="Times New Roman"/>
                <w:sz w:val="24"/>
                <w:szCs w:val="24"/>
                <w:lang w:val="sr-Cyrl-RS"/>
              </w:rPr>
              <w:t>50.000,00</w:t>
            </w:r>
          </w:p>
        </w:tc>
      </w:tr>
      <w:tr w:rsidR="00EA55A3" w:rsidRPr="00406D72" w14:paraId="5B867F54" w14:textId="77777777" w:rsidTr="00C576B2">
        <w:tc>
          <w:tcPr>
            <w:tcW w:w="7218" w:type="dxa"/>
          </w:tcPr>
          <w:p w14:paraId="17574819" w14:textId="77777777" w:rsidR="00EA55A3" w:rsidRPr="00406D72" w:rsidRDefault="00EA55A3" w:rsidP="002D695B">
            <w:pPr>
              <w:rPr>
                <w:rFonts w:ascii="Times New Roman" w:hAnsi="Times New Roman" w:cs="Times New Roman"/>
                <w:sz w:val="24"/>
                <w:szCs w:val="24"/>
              </w:rPr>
            </w:pPr>
            <w:r w:rsidRPr="00406D72">
              <w:rPr>
                <w:rFonts w:ascii="Times New Roman" w:hAnsi="Times New Roman" w:cs="Times New Roman"/>
                <w:sz w:val="24"/>
                <w:szCs w:val="24"/>
              </w:rPr>
              <w:t>Укупно</w:t>
            </w:r>
          </w:p>
        </w:tc>
        <w:tc>
          <w:tcPr>
            <w:tcW w:w="2430" w:type="dxa"/>
          </w:tcPr>
          <w:p w14:paraId="0A75929E" w14:textId="77777777" w:rsidR="00EA55A3" w:rsidRPr="00406D72" w:rsidRDefault="00EA55A3" w:rsidP="002D695B">
            <w:pPr>
              <w:rPr>
                <w:rFonts w:ascii="Times New Roman" w:hAnsi="Times New Roman" w:cs="Times New Roman"/>
                <w:b/>
                <w:sz w:val="24"/>
                <w:szCs w:val="24"/>
                <w:lang w:val="sr-Cyrl-RS"/>
              </w:rPr>
            </w:pPr>
            <w:r>
              <w:rPr>
                <w:rFonts w:ascii="Times New Roman" w:hAnsi="Times New Roman" w:cs="Times New Roman"/>
                <w:b/>
                <w:sz w:val="24"/>
                <w:szCs w:val="24"/>
                <w:lang w:val="sr-Cyrl-RS"/>
              </w:rPr>
              <w:t>996.000,00</w:t>
            </w:r>
          </w:p>
        </w:tc>
      </w:tr>
    </w:tbl>
    <w:p w14:paraId="257CC2E7" w14:textId="77777777" w:rsidR="00EA55A3" w:rsidRPr="00406D72" w:rsidRDefault="00EA55A3" w:rsidP="00DF574A">
      <w:pPr>
        <w:pStyle w:val="-3"/>
      </w:pPr>
      <w:bookmarkStart w:id="52" w:name="_Toc55208058"/>
      <w:r w:rsidRPr="00406D72">
        <w:t xml:space="preserve">Укупни финансијски план за </w:t>
      </w:r>
      <w:r>
        <w:t>реализацију плана ЛСРР – ЛАГ Јастребчанка</w:t>
      </w:r>
      <w:bookmarkEnd w:id="52"/>
    </w:p>
    <w:tbl>
      <w:tblPr>
        <w:tblStyle w:val="TableGrid1"/>
        <w:tblW w:w="5000" w:type="pct"/>
        <w:tblLayout w:type="fixed"/>
        <w:tblLook w:val="04A0" w:firstRow="1" w:lastRow="0" w:firstColumn="1" w:lastColumn="0" w:noHBand="0" w:noVBand="1"/>
      </w:tblPr>
      <w:tblGrid>
        <w:gridCol w:w="6910"/>
        <w:gridCol w:w="2333"/>
      </w:tblGrid>
      <w:tr w:rsidR="00EA55A3" w:rsidRPr="00406D72" w14:paraId="1A4A624A" w14:textId="77777777" w:rsidTr="00312E5F">
        <w:tc>
          <w:tcPr>
            <w:tcW w:w="7218" w:type="dxa"/>
            <w:shd w:val="clear" w:color="auto" w:fill="9CC2E5" w:themeFill="accent5" w:themeFillTint="99"/>
            <w:vAlign w:val="center"/>
          </w:tcPr>
          <w:p w14:paraId="3E4DD955" w14:textId="77777777" w:rsidR="00EA55A3" w:rsidRPr="00406D72" w:rsidRDefault="00EA55A3" w:rsidP="00DF574A">
            <w:pPr>
              <w:jc w:val="center"/>
              <w:rPr>
                <w:rFonts w:ascii="Times New Roman" w:hAnsi="Times New Roman" w:cs="Times New Roman"/>
                <w:b/>
                <w:sz w:val="24"/>
                <w:szCs w:val="24"/>
              </w:rPr>
            </w:pPr>
            <w:r w:rsidRPr="00406D72">
              <w:rPr>
                <w:rFonts w:ascii="Times New Roman" w:hAnsi="Times New Roman" w:cs="Times New Roman"/>
                <w:b/>
                <w:sz w:val="24"/>
                <w:szCs w:val="24"/>
              </w:rPr>
              <w:t>Назив трошка</w:t>
            </w:r>
          </w:p>
        </w:tc>
        <w:tc>
          <w:tcPr>
            <w:tcW w:w="2430" w:type="dxa"/>
            <w:shd w:val="clear" w:color="auto" w:fill="9CC2E5" w:themeFill="accent5" w:themeFillTint="99"/>
            <w:vAlign w:val="center"/>
          </w:tcPr>
          <w:p w14:paraId="4B975B4F" w14:textId="77777777" w:rsidR="00EA55A3" w:rsidRDefault="00EA55A3" w:rsidP="00DF574A">
            <w:pPr>
              <w:jc w:val="center"/>
              <w:rPr>
                <w:rFonts w:ascii="Times New Roman" w:hAnsi="Times New Roman" w:cs="Times New Roman"/>
                <w:b/>
                <w:sz w:val="24"/>
                <w:szCs w:val="24"/>
                <w:lang w:val="sr-Cyrl-RS"/>
              </w:rPr>
            </w:pPr>
            <w:r w:rsidRPr="00406D72">
              <w:rPr>
                <w:rFonts w:ascii="Times New Roman" w:hAnsi="Times New Roman" w:cs="Times New Roman"/>
                <w:b/>
                <w:sz w:val="24"/>
                <w:szCs w:val="24"/>
              </w:rPr>
              <w:t>Вредност трошка</w:t>
            </w:r>
          </w:p>
          <w:p w14:paraId="0896BFD7" w14:textId="6466B693" w:rsidR="00EA55A3" w:rsidRPr="00312E5F" w:rsidRDefault="00312E5F" w:rsidP="00DF574A">
            <w:pPr>
              <w:jc w:val="center"/>
              <w:rPr>
                <w:rFonts w:ascii="Times New Roman" w:hAnsi="Times New Roman" w:cs="Times New Roman"/>
                <w:b/>
                <w:sz w:val="24"/>
                <w:szCs w:val="24"/>
                <w:lang w:val="sr-Cyrl-RS"/>
              </w:rPr>
            </w:pPr>
            <w:r>
              <w:rPr>
                <w:rFonts w:ascii="Times New Roman" w:hAnsi="Times New Roman" w:cs="Times New Roman"/>
                <w:b/>
                <w:sz w:val="24"/>
                <w:szCs w:val="24"/>
                <w:lang w:val="sr-Latn-RS"/>
              </w:rPr>
              <w:t>(</w:t>
            </w:r>
            <w:r>
              <w:rPr>
                <w:rFonts w:ascii="Times New Roman" w:hAnsi="Times New Roman" w:cs="Times New Roman"/>
                <w:b/>
                <w:sz w:val="24"/>
                <w:szCs w:val="24"/>
                <w:lang w:val="sr-Cyrl-RS"/>
              </w:rPr>
              <w:t>дин)</w:t>
            </w:r>
          </w:p>
        </w:tc>
      </w:tr>
      <w:tr w:rsidR="00EA55A3" w:rsidRPr="00406D72" w14:paraId="0B3A91D7" w14:textId="77777777" w:rsidTr="00DF574A">
        <w:tc>
          <w:tcPr>
            <w:tcW w:w="7218" w:type="dxa"/>
          </w:tcPr>
          <w:p w14:paraId="32A979CA"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Финансирање -Активности/Пројекти </w:t>
            </w:r>
          </w:p>
        </w:tc>
        <w:tc>
          <w:tcPr>
            <w:tcW w:w="2430" w:type="dxa"/>
          </w:tcPr>
          <w:p w14:paraId="2AB20A1C" w14:textId="77777777" w:rsidR="00EA55A3" w:rsidRPr="00406D72" w:rsidRDefault="00EA55A3" w:rsidP="002D695B">
            <w:pPr>
              <w:jc w:val="center"/>
              <w:rPr>
                <w:rFonts w:ascii="Times New Roman" w:hAnsi="Times New Roman" w:cs="Times New Roman"/>
                <w:sz w:val="24"/>
                <w:szCs w:val="24"/>
              </w:rPr>
            </w:pPr>
            <w:r w:rsidRPr="008B2846">
              <w:rPr>
                <w:rFonts w:ascii="Times New Roman" w:hAnsi="Times New Roman" w:cs="Times New Roman"/>
                <w:bCs/>
                <w:sz w:val="24"/>
                <w:szCs w:val="24"/>
                <w:lang w:val="sr-Cyrl-RS"/>
              </w:rPr>
              <w:t>22.600.000,00</w:t>
            </w:r>
          </w:p>
        </w:tc>
      </w:tr>
      <w:tr w:rsidR="00EA55A3" w:rsidRPr="00406D72" w14:paraId="1EA82D6C" w14:textId="77777777" w:rsidTr="00DF574A">
        <w:tc>
          <w:tcPr>
            <w:tcW w:w="7218" w:type="dxa"/>
          </w:tcPr>
          <w:p w14:paraId="60F9AB63" w14:textId="77777777" w:rsidR="00EA55A3" w:rsidRPr="00406D72" w:rsidRDefault="00EA55A3" w:rsidP="002D695B">
            <w:pPr>
              <w:rPr>
                <w:rFonts w:ascii="Times New Roman" w:hAnsi="Times New Roman" w:cs="Times New Roman"/>
                <w:sz w:val="24"/>
                <w:szCs w:val="24"/>
                <w:lang w:val="sr-Cyrl-RS"/>
              </w:rPr>
            </w:pPr>
            <w:r>
              <w:rPr>
                <w:rFonts w:ascii="Times New Roman" w:hAnsi="Times New Roman" w:cs="Times New Roman"/>
                <w:sz w:val="24"/>
                <w:szCs w:val="24"/>
                <w:lang w:val="sr-Cyrl-RS"/>
              </w:rPr>
              <w:t>Рад канцеларије за три године</w:t>
            </w:r>
          </w:p>
        </w:tc>
        <w:tc>
          <w:tcPr>
            <w:tcW w:w="2430" w:type="dxa"/>
          </w:tcPr>
          <w:p w14:paraId="6530DD57" w14:textId="77777777" w:rsidR="00EA55A3" w:rsidRPr="00406D72" w:rsidRDefault="00EA55A3" w:rsidP="002D695B">
            <w:pPr>
              <w:jc w:val="center"/>
              <w:rPr>
                <w:rFonts w:ascii="Times New Roman" w:hAnsi="Times New Roman" w:cs="Times New Roman"/>
                <w:sz w:val="24"/>
                <w:szCs w:val="24"/>
                <w:lang w:val="sr-Cyrl-RS"/>
              </w:rPr>
            </w:pPr>
            <w:r w:rsidRPr="008B2846">
              <w:rPr>
                <w:rFonts w:ascii="Times New Roman" w:hAnsi="Times New Roman" w:cs="Times New Roman"/>
                <w:sz w:val="24"/>
                <w:szCs w:val="24"/>
                <w:lang w:val="sr-Cyrl-RS"/>
              </w:rPr>
              <w:t>2.988.000,00</w:t>
            </w:r>
          </w:p>
        </w:tc>
      </w:tr>
      <w:tr w:rsidR="00EA55A3" w:rsidRPr="00406D72" w14:paraId="77053C76" w14:textId="77777777" w:rsidTr="00DF574A">
        <w:tc>
          <w:tcPr>
            <w:tcW w:w="7218" w:type="dxa"/>
          </w:tcPr>
          <w:p w14:paraId="34E34168" w14:textId="77777777" w:rsidR="00EA55A3" w:rsidRPr="00406D72" w:rsidRDefault="00EA55A3" w:rsidP="002D695B">
            <w:pPr>
              <w:rPr>
                <w:rFonts w:ascii="Times New Roman" w:hAnsi="Times New Roman" w:cs="Times New Roman"/>
                <w:sz w:val="24"/>
                <w:szCs w:val="24"/>
                <w:lang w:val="sr-Cyrl-RS"/>
              </w:rPr>
            </w:pPr>
            <w:r w:rsidRPr="008B2846">
              <w:rPr>
                <w:rFonts w:ascii="Times New Roman" w:hAnsi="Times New Roman" w:cs="Times New Roman"/>
                <w:sz w:val="24"/>
                <w:szCs w:val="24"/>
                <w:lang w:val="sr-Cyrl-RS"/>
              </w:rPr>
              <w:t>Укупно</w:t>
            </w:r>
          </w:p>
        </w:tc>
        <w:tc>
          <w:tcPr>
            <w:tcW w:w="2430" w:type="dxa"/>
          </w:tcPr>
          <w:p w14:paraId="0D50FCF7" w14:textId="77777777" w:rsidR="00EA55A3" w:rsidRPr="00406D72" w:rsidRDefault="00EA55A3" w:rsidP="002D695B">
            <w:pPr>
              <w:jc w:val="center"/>
              <w:rPr>
                <w:rFonts w:ascii="Times New Roman" w:hAnsi="Times New Roman" w:cs="Times New Roman"/>
                <w:sz w:val="24"/>
                <w:szCs w:val="24"/>
                <w:lang w:val="sr-Cyrl-RS"/>
              </w:rPr>
            </w:pPr>
            <w:r w:rsidRPr="008B2846">
              <w:rPr>
                <w:rFonts w:ascii="Times New Roman" w:hAnsi="Times New Roman" w:cs="Times New Roman"/>
                <w:sz w:val="24"/>
                <w:szCs w:val="24"/>
                <w:lang w:val="sr-Cyrl-RS"/>
              </w:rPr>
              <w:t>25.588.000,00</w:t>
            </w:r>
          </w:p>
        </w:tc>
      </w:tr>
    </w:tbl>
    <w:p w14:paraId="1EED6591" w14:textId="77777777" w:rsidR="00EA55A3" w:rsidRDefault="00EA55A3" w:rsidP="00EA55A3"/>
    <w:p w14:paraId="51FDB9CD" w14:textId="677BC377" w:rsidR="002F40F6" w:rsidRDefault="002F40F6">
      <w:pPr>
        <w:rPr>
          <w:rFonts w:ascii="Times New Roman" w:hAnsi="Times New Roman" w:cs="Times New Roman"/>
          <w:sz w:val="24"/>
          <w:szCs w:val="28"/>
          <w:lang w:val="sr-Cyrl-RS"/>
        </w:rPr>
      </w:pPr>
      <w:r>
        <w:br w:type="page"/>
      </w:r>
    </w:p>
    <w:p w14:paraId="44DEDA2E" w14:textId="77777777" w:rsidR="0083647A" w:rsidRDefault="0083647A" w:rsidP="0083647A">
      <w:pPr>
        <w:pStyle w:val="-10"/>
      </w:pPr>
      <w:bookmarkStart w:id="53" w:name="_Toc55208059"/>
      <w:r>
        <w:t>ПРИЛОЗИ</w:t>
      </w:r>
      <w:bookmarkEnd w:id="53"/>
    </w:p>
    <w:p w14:paraId="1D173DCC" w14:textId="0CDC0445" w:rsidR="0083647A" w:rsidRPr="00833C01" w:rsidRDefault="0083647A" w:rsidP="0083647A">
      <w:pPr>
        <w:pStyle w:val="Tekst-1"/>
        <w:jc w:val="left"/>
      </w:pPr>
      <w:r w:rsidRPr="0083647A">
        <w:t xml:space="preserve">Прилог 1 – организациона </w:t>
      </w:r>
      <w:r w:rsidR="00833C01">
        <w:t>шема</w:t>
      </w:r>
    </w:p>
    <w:p w14:paraId="1FAA7B53" w14:textId="59DFB0A9" w:rsidR="0083647A" w:rsidRPr="0083647A" w:rsidRDefault="0083647A" w:rsidP="009C6CE6">
      <w:pPr>
        <w:pStyle w:val="Tekst-1"/>
        <w:jc w:val="left"/>
      </w:pPr>
      <w:r w:rsidRPr="0083647A">
        <w:t>Прилог</w:t>
      </w:r>
      <w:r>
        <w:t xml:space="preserve"> </w:t>
      </w:r>
      <w:r w:rsidRPr="0083647A">
        <w:t xml:space="preserve">3 </w:t>
      </w:r>
      <w:r>
        <w:t>–</w:t>
      </w:r>
      <w:r w:rsidRPr="0083647A">
        <w:t xml:space="preserve"> фотодокументација, листе присутних и списак линкова медијских</w:t>
      </w:r>
      <w:r w:rsidR="009C6CE6">
        <w:t xml:space="preserve"> </w:t>
      </w:r>
      <w:r w:rsidRPr="0083647A">
        <w:t>објава</w:t>
      </w:r>
    </w:p>
    <w:p w14:paraId="5CB07635" w14:textId="6F9C8668" w:rsidR="0083647A" w:rsidRDefault="0083647A" w:rsidP="0083647A">
      <w:pPr>
        <w:pStyle w:val="Tekst-1"/>
        <w:jc w:val="left"/>
      </w:pPr>
      <w:r w:rsidRPr="0083647A">
        <w:t>Прилог 4 – биографија ЛАГ менаџера</w:t>
      </w:r>
    </w:p>
    <w:sectPr w:rsidR="0083647A" w:rsidSect="00FD0D21">
      <w:headerReference w:type="default" r:id="rId24"/>
      <w:footerReference w:type="default" r:id="rId2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D7970" w14:textId="77777777" w:rsidR="00286667" w:rsidRDefault="00286667" w:rsidP="00FD0D21">
      <w:pPr>
        <w:spacing w:after="0" w:line="240" w:lineRule="auto"/>
      </w:pPr>
      <w:r>
        <w:separator/>
      </w:r>
    </w:p>
  </w:endnote>
  <w:endnote w:type="continuationSeparator" w:id="0">
    <w:p w14:paraId="6608E8CE" w14:textId="77777777" w:rsidR="00286667" w:rsidRDefault="00286667" w:rsidP="00FD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462621"/>
      <w:docPartObj>
        <w:docPartGallery w:val="Page Numbers (Bottom of Page)"/>
        <w:docPartUnique/>
      </w:docPartObj>
    </w:sdtPr>
    <w:sdtEndPr/>
    <w:sdtContent>
      <w:p w14:paraId="5628C847" w14:textId="6DE1522D" w:rsidR="00C35849" w:rsidRDefault="00C35849">
        <w:pPr>
          <w:pStyle w:val="Footer"/>
        </w:pPr>
        <w:r>
          <w:rPr>
            <w:noProof/>
            <w:lang w:val="sr-Latn-RS" w:eastAsia="sr-Latn-RS"/>
          </w:rPr>
          <mc:AlternateContent>
            <mc:Choice Requires="wpg">
              <w:drawing>
                <wp:anchor distT="0" distB="0" distL="114300" distR="114300" simplePos="0" relativeHeight="251659264" behindDoc="0" locked="0" layoutInCell="1" allowOverlap="1" wp14:anchorId="6C798CBD" wp14:editId="01B967F1">
                  <wp:simplePos x="0" y="0"/>
                  <wp:positionH relativeFrom="page">
                    <wp:align>center</wp:align>
                  </wp:positionH>
                  <wp:positionV relativeFrom="bottomMargin">
                    <wp:align>center</wp:align>
                  </wp:positionV>
                  <wp:extent cx="7753350" cy="190500"/>
                  <wp:effectExtent l="9525" t="9525"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91D42" w14:textId="77777777" w:rsidR="00C35849" w:rsidRDefault="00C35849">
                                <w:pPr>
                                  <w:jc w:val="center"/>
                                </w:pPr>
                                <w:r>
                                  <w:fldChar w:fldCharType="begin"/>
                                </w:r>
                                <w:r>
                                  <w:instrText xml:space="preserve"> PAGE    \* MERGEFORMAT </w:instrText>
                                </w:r>
                                <w:r>
                                  <w:fldChar w:fldCharType="separate"/>
                                </w:r>
                                <w:r w:rsidR="00586A21" w:rsidRPr="00586A21">
                                  <w:rPr>
                                    <w:noProof/>
                                    <w:color w:val="8C8C8C" w:themeColor="background1" w:themeShade="8C"/>
                                  </w:rPr>
                                  <w:t>33</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0E191D42" w14:textId="77777777" w:rsidR="00C35849" w:rsidRDefault="00C35849">
                          <w:pPr>
                            <w:jc w:val="center"/>
                          </w:pPr>
                          <w:r>
                            <w:fldChar w:fldCharType="begin"/>
                          </w:r>
                          <w:r>
                            <w:instrText xml:space="preserve"> PAGE    \* MERGEFORMAT </w:instrText>
                          </w:r>
                          <w:r>
                            <w:fldChar w:fldCharType="separate"/>
                          </w:r>
                          <w:r w:rsidR="00586A21" w:rsidRPr="00586A21">
                            <w:rPr>
                              <w:noProof/>
                              <w:color w:val="8C8C8C" w:themeColor="background1" w:themeShade="8C"/>
                            </w:rPr>
                            <w:t>33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Gv8IAAADaAAAADwAAAGRycy9kb3ducmV2LnhtbESPT4vCMBTE78J+h/AW9iJr6oK6VKOI&#10;IN2LB/+Bx2fzbIrNS2midv30RhA8DjPzG2Yya20lrtT40rGCfi8BQZw7XXKhYLddfv+C8AFZY+WY&#10;FPyTh9n0ozPBVLsbr+m6CYWIEPYpKjAh1KmUPjdk0fdcTRy9k2sshiibQuoGbxFuK/mTJENpseS4&#10;YLCmhaH8vLlYBV2fyH0+OJism62Od73n3dxmSn19tvMxiEBteIdf7T+tYAT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bGv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9t8IAAADbAAAADwAAAGRycy9kb3ducmV2LnhtbERPS4vCMBC+L/gfwix4WbapPchSTUW2&#10;KIIIvi7ehma2rTaT0kSt/94Iwt7m43vOdNabRtyoc7VlBaMoBkFcWF1zqeB4WHz/gHAeWWNjmRQ8&#10;yMEsG3xMMdX2zju67X0pQgi7FBVU3replK6oyKCLbEscuD/bGfQBdqXUHd5DuGlkEsdjabDm0FBh&#10;S78VFZf91SjY7JbHy0le86Sv519nXOen8zZXavjZzycgPPX+X/x2r3SYn8Drl3C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Z9t8IAAADb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4BA69" w14:textId="77777777" w:rsidR="00286667" w:rsidRDefault="00286667" w:rsidP="00FD0D21">
      <w:pPr>
        <w:spacing w:after="0" w:line="240" w:lineRule="auto"/>
      </w:pPr>
      <w:r>
        <w:separator/>
      </w:r>
    </w:p>
  </w:footnote>
  <w:footnote w:type="continuationSeparator" w:id="0">
    <w:p w14:paraId="0B54480A" w14:textId="77777777" w:rsidR="00286667" w:rsidRDefault="00286667" w:rsidP="00FD0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C192" w14:textId="5FD25256" w:rsidR="00C35849" w:rsidRPr="001E1F03" w:rsidRDefault="00C35849" w:rsidP="00D13542">
    <w:pPr>
      <w:pStyle w:val="Header"/>
      <w:pBdr>
        <w:bottom w:val="single" w:sz="4" w:space="1" w:color="auto"/>
      </w:pBdr>
      <w:jc w:val="right"/>
      <w:rPr>
        <w:rFonts w:ascii="Times New Roman" w:hAnsi="Times New Roman" w:cs="Times New Roman"/>
        <w:i/>
        <w:iCs/>
      </w:rPr>
    </w:pPr>
    <w:r w:rsidRPr="001E1F03">
      <w:rPr>
        <w:rFonts w:ascii="Times New Roman" w:hAnsi="Times New Roman" w:cs="Times New Roman"/>
        <w:i/>
        <w:iCs/>
      </w:rPr>
      <w:t>Локална стратегија руралног развоја до 2023. - Локална акциона група „</w:t>
    </w:r>
    <w:r w:rsidRPr="001E1F03">
      <w:rPr>
        <w:rFonts w:ascii="Times New Roman" w:hAnsi="Times New Roman" w:cs="Times New Roman"/>
        <w:i/>
        <w:iCs/>
        <w:lang w:val="sr-Cyrl-RS"/>
      </w:rPr>
      <w:t>Јастребчанка</w:t>
    </w:r>
    <w:r w:rsidRPr="001E1F03">
      <w:rPr>
        <w:rFonts w:ascii="Times New Roman" w:hAnsi="Times New Roman" w:cs="Times New Roman"/>
        <w:i/>
        <w:i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481"/>
    <w:multiLevelType w:val="hybridMultilevel"/>
    <w:tmpl w:val="9796CE2A"/>
    <w:lvl w:ilvl="0" w:tplc="50FC622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8B1FB4"/>
    <w:multiLevelType w:val="hybridMultilevel"/>
    <w:tmpl w:val="F15009B4"/>
    <w:lvl w:ilvl="0" w:tplc="E926DC80">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452792C"/>
    <w:multiLevelType w:val="hybridMultilevel"/>
    <w:tmpl w:val="A6103F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3432058"/>
    <w:multiLevelType w:val="hybridMultilevel"/>
    <w:tmpl w:val="3D5E8BE0"/>
    <w:lvl w:ilvl="0" w:tplc="7B1A353A">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009B4"/>
    <w:multiLevelType w:val="hybridMultilevel"/>
    <w:tmpl w:val="A97A388C"/>
    <w:lvl w:ilvl="0" w:tplc="DB54A3AC">
      <w:numFmt w:val="bullet"/>
      <w:lvlText w:val="-"/>
      <w:lvlJc w:val="left"/>
      <w:pPr>
        <w:ind w:left="756" w:hanging="360"/>
      </w:pPr>
      <w:rPr>
        <w:rFonts w:ascii="Times New Roman" w:eastAsiaTheme="minorHAnsi" w:hAnsi="Times New Roman" w:cs="Times New Roman" w:hint="default"/>
      </w:rPr>
    </w:lvl>
    <w:lvl w:ilvl="1" w:tplc="04090003">
      <w:start w:val="1"/>
      <w:numFmt w:val="bullet"/>
      <w:lvlText w:val="o"/>
      <w:lvlJc w:val="left"/>
      <w:pPr>
        <w:ind w:left="1476" w:hanging="360"/>
      </w:pPr>
      <w:rPr>
        <w:rFonts w:ascii="Courier New" w:hAnsi="Courier New" w:cs="Courier New" w:hint="default"/>
      </w:rPr>
    </w:lvl>
    <w:lvl w:ilvl="2" w:tplc="04090005">
      <w:start w:val="1"/>
      <w:numFmt w:val="bullet"/>
      <w:lvlText w:val=""/>
      <w:lvlJc w:val="left"/>
      <w:pPr>
        <w:ind w:left="2196" w:hanging="360"/>
      </w:pPr>
      <w:rPr>
        <w:rFonts w:ascii="Wingdings" w:hAnsi="Wingdings" w:hint="default"/>
      </w:rPr>
    </w:lvl>
    <w:lvl w:ilvl="3" w:tplc="04090001">
      <w:start w:val="1"/>
      <w:numFmt w:val="bullet"/>
      <w:lvlText w:val=""/>
      <w:lvlJc w:val="left"/>
      <w:pPr>
        <w:ind w:left="2916" w:hanging="360"/>
      </w:pPr>
      <w:rPr>
        <w:rFonts w:ascii="Symbol" w:hAnsi="Symbol" w:hint="default"/>
      </w:rPr>
    </w:lvl>
    <w:lvl w:ilvl="4" w:tplc="04090003">
      <w:start w:val="1"/>
      <w:numFmt w:val="bullet"/>
      <w:lvlText w:val="o"/>
      <w:lvlJc w:val="left"/>
      <w:pPr>
        <w:ind w:left="3636" w:hanging="360"/>
      </w:pPr>
      <w:rPr>
        <w:rFonts w:ascii="Courier New" w:hAnsi="Courier New" w:cs="Courier New" w:hint="default"/>
      </w:rPr>
    </w:lvl>
    <w:lvl w:ilvl="5" w:tplc="04090005">
      <w:start w:val="1"/>
      <w:numFmt w:val="bullet"/>
      <w:lvlText w:val=""/>
      <w:lvlJc w:val="left"/>
      <w:pPr>
        <w:ind w:left="4356" w:hanging="360"/>
      </w:pPr>
      <w:rPr>
        <w:rFonts w:ascii="Wingdings" w:hAnsi="Wingdings" w:hint="default"/>
      </w:rPr>
    </w:lvl>
    <w:lvl w:ilvl="6" w:tplc="04090001">
      <w:start w:val="1"/>
      <w:numFmt w:val="bullet"/>
      <w:lvlText w:val=""/>
      <w:lvlJc w:val="left"/>
      <w:pPr>
        <w:ind w:left="5076" w:hanging="360"/>
      </w:pPr>
      <w:rPr>
        <w:rFonts w:ascii="Symbol" w:hAnsi="Symbol" w:hint="default"/>
      </w:rPr>
    </w:lvl>
    <w:lvl w:ilvl="7" w:tplc="04090003">
      <w:start w:val="1"/>
      <w:numFmt w:val="bullet"/>
      <w:lvlText w:val="o"/>
      <w:lvlJc w:val="left"/>
      <w:pPr>
        <w:ind w:left="5796" w:hanging="360"/>
      </w:pPr>
      <w:rPr>
        <w:rFonts w:ascii="Courier New" w:hAnsi="Courier New" w:cs="Courier New" w:hint="default"/>
      </w:rPr>
    </w:lvl>
    <w:lvl w:ilvl="8" w:tplc="04090005">
      <w:start w:val="1"/>
      <w:numFmt w:val="bullet"/>
      <w:lvlText w:val=""/>
      <w:lvlJc w:val="left"/>
      <w:pPr>
        <w:ind w:left="6516" w:hanging="360"/>
      </w:pPr>
      <w:rPr>
        <w:rFonts w:ascii="Wingdings" w:hAnsi="Wingdings" w:hint="default"/>
      </w:rPr>
    </w:lvl>
  </w:abstractNum>
  <w:abstractNum w:abstractNumId="5">
    <w:nsid w:val="1D7D6D4C"/>
    <w:multiLevelType w:val="multilevel"/>
    <w:tmpl w:val="3AEAA22C"/>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A26934"/>
    <w:multiLevelType w:val="hybridMultilevel"/>
    <w:tmpl w:val="5134AE6C"/>
    <w:lvl w:ilvl="0" w:tplc="8E82B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589413A"/>
    <w:multiLevelType w:val="hybridMultilevel"/>
    <w:tmpl w:val="15D04F3E"/>
    <w:lvl w:ilvl="0" w:tplc="A030FB58">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0782A25"/>
    <w:multiLevelType w:val="hybridMultilevel"/>
    <w:tmpl w:val="CD9A3D00"/>
    <w:lvl w:ilvl="0" w:tplc="8E82B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757C1E"/>
    <w:multiLevelType w:val="hybridMultilevel"/>
    <w:tmpl w:val="C1B0ED4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8A60073"/>
    <w:multiLevelType w:val="hybridMultilevel"/>
    <w:tmpl w:val="4A867E60"/>
    <w:lvl w:ilvl="0" w:tplc="58D2D2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E0F15"/>
    <w:multiLevelType w:val="hybridMultilevel"/>
    <w:tmpl w:val="9CDE87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473A2CB2"/>
    <w:multiLevelType w:val="hybridMultilevel"/>
    <w:tmpl w:val="5AA25830"/>
    <w:lvl w:ilvl="0" w:tplc="50FC62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8786E80"/>
    <w:multiLevelType w:val="hybridMultilevel"/>
    <w:tmpl w:val="F5127290"/>
    <w:lvl w:ilvl="0" w:tplc="CE869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A0EF4"/>
    <w:multiLevelType w:val="hybridMultilevel"/>
    <w:tmpl w:val="5B589D4C"/>
    <w:lvl w:ilvl="0" w:tplc="C56A0F96">
      <w:start w:val="1"/>
      <w:numFmt w:val="bullet"/>
      <w:lvlText w:val=""/>
      <w:lvlJc w:val="left"/>
      <w:pPr>
        <w:ind w:left="927" w:hanging="360"/>
      </w:pPr>
      <w:rPr>
        <w:rFonts w:ascii="Symbol" w:hAnsi="Symbol" w:hint="default"/>
      </w:rPr>
    </w:lvl>
    <w:lvl w:ilvl="1" w:tplc="DB54A3AC">
      <w:numFmt w:val="bullet"/>
      <w:lvlText w:val="-"/>
      <w:lvlJc w:val="left"/>
      <w:pPr>
        <w:ind w:left="1647" w:hanging="360"/>
      </w:pPr>
      <w:rPr>
        <w:rFonts w:ascii="Times New Roman" w:eastAsiaTheme="minorHAnsi"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7"/>
  </w:num>
  <w:num w:numId="6">
    <w:abstractNumId w:val="14"/>
  </w:num>
  <w:num w:numId="7">
    <w:abstractNumId w:val="4"/>
  </w:num>
  <w:num w:numId="8">
    <w:abstractNumId w:val="12"/>
  </w:num>
  <w:num w:numId="9">
    <w:abstractNumId w:val="2"/>
  </w:num>
  <w:num w:numId="10">
    <w:abstractNumId w:val="1"/>
  </w:num>
  <w:num w:numId="11">
    <w:abstractNumId w:val="0"/>
  </w:num>
  <w:num w:numId="12">
    <w:abstractNumId w:val="13"/>
  </w:num>
  <w:num w:numId="13">
    <w:abstractNumId w:val="3"/>
  </w:num>
  <w:num w:numId="14">
    <w:abstractNumId w:val="10"/>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21"/>
    <w:rsid w:val="00000141"/>
    <w:rsid w:val="00002BC4"/>
    <w:rsid w:val="00012014"/>
    <w:rsid w:val="00012EBF"/>
    <w:rsid w:val="00024290"/>
    <w:rsid w:val="00060FBB"/>
    <w:rsid w:val="00061458"/>
    <w:rsid w:val="0006177E"/>
    <w:rsid w:val="0006491F"/>
    <w:rsid w:val="00073C5F"/>
    <w:rsid w:val="00085303"/>
    <w:rsid w:val="000A3FCB"/>
    <w:rsid w:val="000B0788"/>
    <w:rsid w:val="000B33DF"/>
    <w:rsid w:val="000C3030"/>
    <w:rsid w:val="000D00AF"/>
    <w:rsid w:val="000D09CA"/>
    <w:rsid w:val="000D138C"/>
    <w:rsid w:val="000D4E46"/>
    <w:rsid w:val="000E60F5"/>
    <w:rsid w:val="000F63C4"/>
    <w:rsid w:val="001061F7"/>
    <w:rsid w:val="00110FA7"/>
    <w:rsid w:val="00130C0E"/>
    <w:rsid w:val="001439DD"/>
    <w:rsid w:val="00166620"/>
    <w:rsid w:val="00183620"/>
    <w:rsid w:val="001922F5"/>
    <w:rsid w:val="001A1845"/>
    <w:rsid w:val="001A7905"/>
    <w:rsid w:val="001B1543"/>
    <w:rsid w:val="001D2EE5"/>
    <w:rsid w:val="001D5BD0"/>
    <w:rsid w:val="001E1F03"/>
    <w:rsid w:val="001E7B1C"/>
    <w:rsid w:val="002078C4"/>
    <w:rsid w:val="00211464"/>
    <w:rsid w:val="00223B61"/>
    <w:rsid w:val="00232297"/>
    <w:rsid w:val="00232469"/>
    <w:rsid w:val="00240E98"/>
    <w:rsid w:val="002601C7"/>
    <w:rsid w:val="00265927"/>
    <w:rsid w:val="00271976"/>
    <w:rsid w:val="00281CE4"/>
    <w:rsid w:val="00286667"/>
    <w:rsid w:val="002B31FA"/>
    <w:rsid w:val="002D695B"/>
    <w:rsid w:val="002E7825"/>
    <w:rsid w:val="002F081B"/>
    <w:rsid w:val="002F3C4F"/>
    <w:rsid w:val="002F40F6"/>
    <w:rsid w:val="0030601B"/>
    <w:rsid w:val="00306AFE"/>
    <w:rsid w:val="00312E5F"/>
    <w:rsid w:val="003162BD"/>
    <w:rsid w:val="00316C4E"/>
    <w:rsid w:val="00317E5F"/>
    <w:rsid w:val="00327E96"/>
    <w:rsid w:val="00332B77"/>
    <w:rsid w:val="00336E66"/>
    <w:rsid w:val="00344188"/>
    <w:rsid w:val="00345C32"/>
    <w:rsid w:val="0034701B"/>
    <w:rsid w:val="0035414E"/>
    <w:rsid w:val="00366209"/>
    <w:rsid w:val="00372F77"/>
    <w:rsid w:val="00373473"/>
    <w:rsid w:val="00375975"/>
    <w:rsid w:val="00384070"/>
    <w:rsid w:val="003856CF"/>
    <w:rsid w:val="00393A90"/>
    <w:rsid w:val="003A23F7"/>
    <w:rsid w:val="003B2350"/>
    <w:rsid w:val="003E2CA5"/>
    <w:rsid w:val="003E42D6"/>
    <w:rsid w:val="003F6DA8"/>
    <w:rsid w:val="00432A50"/>
    <w:rsid w:val="00446196"/>
    <w:rsid w:val="00456F93"/>
    <w:rsid w:val="004625FA"/>
    <w:rsid w:val="004754FA"/>
    <w:rsid w:val="00477F32"/>
    <w:rsid w:val="004905EA"/>
    <w:rsid w:val="004912F1"/>
    <w:rsid w:val="004A3EE6"/>
    <w:rsid w:val="004C23C6"/>
    <w:rsid w:val="004E62FF"/>
    <w:rsid w:val="004F3063"/>
    <w:rsid w:val="0050165E"/>
    <w:rsid w:val="00502C29"/>
    <w:rsid w:val="00511B2A"/>
    <w:rsid w:val="00521857"/>
    <w:rsid w:val="00534825"/>
    <w:rsid w:val="00535333"/>
    <w:rsid w:val="00566E9F"/>
    <w:rsid w:val="00580541"/>
    <w:rsid w:val="00585AB6"/>
    <w:rsid w:val="00586A21"/>
    <w:rsid w:val="005B67EC"/>
    <w:rsid w:val="005C417A"/>
    <w:rsid w:val="005E0A94"/>
    <w:rsid w:val="005F6B8B"/>
    <w:rsid w:val="005F749E"/>
    <w:rsid w:val="0060358A"/>
    <w:rsid w:val="00604FCC"/>
    <w:rsid w:val="00607DBB"/>
    <w:rsid w:val="006101CE"/>
    <w:rsid w:val="00637223"/>
    <w:rsid w:val="00643F9D"/>
    <w:rsid w:val="0064597F"/>
    <w:rsid w:val="006767C3"/>
    <w:rsid w:val="006867AC"/>
    <w:rsid w:val="006C29EF"/>
    <w:rsid w:val="006C36D5"/>
    <w:rsid w:val="006D6E1C"/>
    <w:rsid w:val="006F14A0"/>
    <w:rsid w:val="007026EF"/>
    <w:rsid w:val="0073038C"/>
    <w:rsid w:val="00730729"/>
    <w:rsid w:val="0073428E"/>
    <w:rsid w:val="007342B2"/>
    <w:rsid w:val="0073483B"/>
    <w:rsid w:val="00740096"/>
    <w:rsid w:val="00767AA1"/>
    <w:rsid w:val="007859BE"/>
    <w:rsid w:val="00791D2A"/>
    <w:rsid w:val="0079348F"/>
    <w:rsid w:val="007A0A3B"/>
    <w:rsid w:val="007D276C"/>
    <w:rsid w:val="00807871"/>
    <w:rsid w:val="00821A8F"/>
    <w:rsid w:val="00827E1E"/>
    <w:rsid w:val="00831EA0"/>
    <w:rsid w:val="00833C01"/>
    <w:rsid w:val="0083647A"/>
    <w:rsid w:val="00837D00"/>
    <w:rsid w:val="00846F22"/>
    <w:rsid w:val="008663C0"/>
    <w:rsid w:val="00873796"/>
    <w:rsid w:val="00874DE8"/>
    <w:rsid w:val="00893763"/>
    <w:rsid w:val="00897615"/>
    <w:rsid w:val="008A0FB3"/>
    <w:rsid w:val="008A6D92"/>
    <w:rsid w:val="008B6A1C"/>
    <w:rsid w:val="008C6ED9"/>
    <w:rsid w:val="008C7C39"/>
    <w:rsid w:val="008D0848"/>
    <w:rsid w:val="008F3B61"/>
    <w:rsid w:val="008F3DAB"/>
    <w:rsid w:val="00901E24"/>
    <w:rsid w:val="0094020C"/>
    <w:rsid w:val="00941E80"/>
    <w:rsid w:val="00947E45"/>
    <w:rsid w:val="00964763"/>
    <w:rsid w:val="00977F0F"/>
    <w:rsid w:val="009B1B05"/>
    <w:rsid w:val="009B2F4E"/>
    <w:rsid w:val="009C6CE6"/>
    <w:rsid w:val="009D0566"/>
    <w:rsid w:val="00A220C3"/>
    <w:rsid w:val="00A223D8"/>
    <w:rsid w:val="00A2636F"/>
    <w:rsid w:val="00A42225"/>
    <w:rsid w:val="00A56638"/>
    <w:rsid w:val="00A57FCF"/>
    <w:rsid w:val="00A7452F"/>
    <w:rsid w:val="00A83F5F"/>
    <w:rsid w:val="00AB1E2F"/>
    <w:rsid w:val="00AC0BE7"/>
    <w:rsid w:val="00B3550F"/>
    <w:rsid w:val="00B46153"/>
    <w:rsid w:val="00B77608"/>
    <w:rsid w:val="00B77930"/>
    <w:rsid w:val="00BB607F"/>
    <w:rsid w:val="00BC70B9"/>
    <w:rsid w:val="00BD202D"/>
    <w:rsid w:val="00BE1EEE"/>
    <w:rsid w:val="00C2364A"/>
    <w:rsid w:val="00C245D6"/>
    <w:rsid w:val="00C319DA"/>
    <w:rsid w:val="00C33DE8"/>
    <w:rsid w:val="00C35849"/>
    <w:rsid w:val="00C576B2"/>
    <w:rsid w:val="00C66B80"/>
    <w:rsid w:val="00C73427"/>
    <w:rsid w:val="00C90E8A"/>
    <w:rsid w:val="00C95FA7"/>
    <w:rsid w:val="00CA697B"/>
    <w:rsid w:val="00CB19A2"/>
    <w:rsid w:val="00CD3C32"/>
    <w:rsid w:val="00CE6077"/>
    <w:rsid w:val="00CE69EC"/>
    <w:rsid w:val="00D13542"/>
    <w:rsid w:val="00D24825"/>
    <w:rsid w:val="00D32F1D"/>
    <w:rsid w:val="00D44343"/>
    <w:rsid w:val="00D661E7"/>
    <w:rsid w:val="00D70FF1"/>
    <w:rsid w:val="00D76E3A"/>
    <w:rsid w:val="00DD250C"/>
    <w:rsid w:val="00DD65CA"/>
    <w:rsid w:val="00DD7642"/>
    <w:rsid w:val="00DE26F4"/>
    <w:rsid w:val="00DE400D"/>
    <w:rsid w:val="00DE4333"/>
    <w:rsid w:val="00DF022A"/>
    <w:rsid w:val="00DF16F8"/>
    <w:rsid w:val="00DF574A"/>
    <w:rsid w:val="00E0022F"/>
    <w:rsid w:val="00E04C7B"/>
    <w:rsid w:val="00E20679"/>
    <w:rsid w:val="00E22FAE"/>
    <w:rsid w:val="00E63028"/>
    <w:rsid w:val="00E64F2B"/>
    <w:rsid w:val="00E749BB"/>
    <w:rsid w:val="00EA55A3"/>
    <w:rsid w:val="00EB0D19"/>
    <w:rsid w:val="00EB0FD8"/>
    <w:rsid w:val="00EC1485"/>
    <w:rsid w:val="00EC3060"/>
    <w:rsid w:val="00EC5306"/>
    <w:rsid w:val="00EC5FA7"/>
    <w:rsid w:val="00EF10BA"/>
    <w:rsid w:val="00EF3F4D"/>
    <w:rsid w:val="00F026DD"/>
    <w:rsid w:val="00F04314"/>
    <w:rsid w:val="00F04F96"/>
    <w:rsid w:val="00F32919"/>
    <w:rsid w:val="00F61AE6"/>
    <w:rsid w:val="00F81019"/>
    <w:rsid w:val="00F84B54"/>
    <w:rsid w:val="00F938D5"/>
    <w:rsid w:val="00F9556F"/>
    <w:rsid w:val="00F97E41"/>
    <w:rsid w:val="00FA2277"/>
    <w:rsid w:val="00FA2718"/>
    <w:rsid w:val="00FA741E"/>
    <w:rsid w:val="00FB02FB"/>
    <w:rsid w:val="00FB17C8"/>
    <w:rsid w:val="00FB6916"/>
    <w:rsid w:val="00FD0D21"/>
    <w:rsid w:val="00FF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3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372F77"/>
  </w:style>
  <w:style w:type="paragraph" w:styleId="Heading1">
    <w:name w:val="heading 1"/>
    <w:basedOn w:val="Normal"/>
    <w:next w:val="Normal"/>
    <w:link w:val="Heading1Char"/>
    <w:uiPriority w:val="9"/>
    <w:qFormat/>
    <w:rsid w:val="00C90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0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0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EC148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АДРЖАЈ"/>
    <w:basedOn w:val="Normal"/>
    <w:qFormat/>
    <w:rsid w:val="00FD0D21"/>
    <w:pPr>
      <w:spacing w:after="480" w:line="240" w:lineRule="auto"/>
    </w:pPr>
    <w:rPr>
      <w:rFonts w:ascii="Times New Roman" w:hAnsi="Times New Roman" w:cs="Times New Roman"/>
      <w:b/>
      <w:sz w:val="28"/>
      <w:szCs w:val="28"/>
      <w:lang w:val="sr-Cyrl-RS"/>
    </w:rPr>
  </w:style>
  <w:style w:type="paragraph" w:styleId="Header">
    <w:name w:val="header"/>
    <w:basedOn w:val="Normal"/>
    <w:link w:val="HeaderChar"/>
    <w:uiPriority w:val="99"/>
    <w:unhideWhenUsed/>
    <w:rsid w:val="00FD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21"/>
  </w:style>
  <w:style w:type="paragraph" w:styleId="Footer">
    <w:name w:val="footer"/>
    <w:basedOn w:val="Normal"/>
    <w:link w:val="FooterChar"/>
    <w:uiPriority w:val="99"/>
    <w:unhideWhenUsed/>
    <w:rsid w:val="00FD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21"/>
  </w:style>
  <w:style w:type="paragraph" w:customStyle="1" w:styleId="-10">
    <w:name w:val="НАСЛОВ-1"/>
    <w:basedOn w:val="Normal"/>
    <w:link w:val="-1Char"/>
    <w:qFormat/>
    <w:rsid w:val="00874DE8"/>
    <w:pPr>
      <w:spacing w:before="240" w:after="360" w:line="240" w:lineRule="auto"/>
    </w:pPr>
    <w:rPr>
      <w:rFonts w:ascii="Times New Roman" w:hAnsi="Times New Roman" w:cs="Times New Roman"/>
      <w:b/>
      <w:caps/>
      <w:sz w:val="28"/>
      <w:szCs w:val="28"/>
      <w:lang w:val="sr-Cyrl-RS"/>
    </w:rPr>
  </w:style>
  <w:style w:type="paragraph" w:customStyle="1" w:styleId="Tekst-1">
    <w:name w:val="Tekst-1"/>
    <w:basedOn w:val="Normal"/>
    <w:link w:val="Tekst-1Char"/>
    <w:qFormat/>
    <w:rsid w:val="006F14A0"/>
    <w:pPr>
      <w:spacing w:before="120" w:after="120" w:line="240" w:lineRule="auto"/>
      <w:ind w:firstLine="567"/>
      <w:jc w:val="both"/>
    </w:pPr>
    <w:rPr>
      <w:rFonts w:ascii="Times New Roman" w:hAnsi="Times New Roman" w:cs="Times New Roman"/>
      <w:sz w:val="24"/>
      <w:szCs w:val="28"/>
      <w:lang w:val="sr-Cyrl-RS"/>
    </w:rPr>
  </w:style>
  <w:style w:type="character" w:customStyle="1" w:styleId="-1Char">
    <w:name w:val="НАСЛОВ-1 Char"/>
    <w:basedOn w:val="DefaultParagraphFont"/>
    <w:link w:val="-10"/>
    <w:rsid w:val="00874DE8"/>
    <w:rPr>
      <w:rFonts w:ascii="Times New Roman" w:hAnsi="Times New Roman" w:cs="Times New Roman"/>
      <w:b/>
      <w:caps/>
      <w:sz w:val="28"/>
      <w:szCs w:val="28"/>
      <w:lang w:val="sr-Cyrl-RS"/>
    </w:rPr>
  </w:style>
  <w:style w:type="paragraph" w:customStyle="1" w:styleId="-1">
    <w:name w:val="Подн-1"/>
    <w:qFormat/>
    <w:rsid w:val="008A6D92"/>
    <w:pPr>
      <w:numPr>
        <w:numId w:val="3"/>
      </w:numPr>
      <w:spacing w:before="240" w:after="360"/>
    </w:pPr>
    <w:rPr>
      <w:rFonts w:ascii="Times New Roman" w:hAnsi="Times New Roman" w:cs="Times New Roman"/>
      <w:b/>
      <w:sz w:val="28"/>
      <w:szCs w:val="28"/>
      <w:lang w:val="sr-Cyrl-RS"/>
    </w:rPr>
  </w:style>
  <w:style w:type="character" w:customStyle="1" w:styleId="Tekst-1Char">
    <w:name w:val="Tekst-1 Char"/>
    <w:basedOn w:val="DefaultParagraphFont"/>
    <w:link w:val="Tekst-1"/>
    <w:rsid w:val="006F14A0"/>
    <w:rPr>
      <w:rFonts w:ascii="Times New Roman" w:hAnsi="Times New Roman" w:cs="Times New Roman"/>
      <w:sz w:val="24"/>
      <w:szCs w:val="28"/>
      <w:lang w:val="sr-Cyrl-RS"/>
    </w:rPr>
  </w:style>
  <w:style w:type="paragraph" w:customStyle="1" w:styleId="-2">
    <w:name w:val="Подн-2"/>
    <w:basedOn w:val="Tekst-1"/>
    <w:link w:val="-2Char"/>
    <w:qFormat/>
    <w:rsid w:val="006767C3"/>
    <w:pPr>
      <w:spacing w:before="360" w:after="240"/>
    </w:pPr>
    <w:rPr>
      <w:b/>
    </w:rPr>
  </w:style>
  <w:style w:type="character" w:styleId="CommentReference">
    <w:name w:val="annotation reference"/>
    <w:basedOn w:val="DefaultParagraphFont"/>
    <w:uiPriority w:val="99"/>
    <w:semiHidden/>
    <w:unhideWhenUsed/>
    <w:rsid w:val="00D70FF1"/>
    <w:rPr>
      <w:sz w:val="16"/>
      <w:szCs w:val="16"/>
    </w:rPr>
  </w:style>
  <w:style w:type="paragraph" w:styleId="CommentText">
    <w:name w:val="annotation text"/>
    <w:basedOn w:val="Normal"/>
    <w:link w:val="CommentTextChar"/>
    <w:uiPriority w:val="99"/>
    <w:semiHidden/>
    <w:unhideWhenUsed/>
    <w:rsid w:val="00D70FF1"/>
    <w:pPr>
      <w:spacing w:line="240" w:lineRule="auto"/>
    </w:pPr>
    <w:rPr>
      <w:sz w:val="20"/>
      <w:szCs w:val="20"/>
    </w:rPr>
  </w:style>
  <w:style w:type="character" w:customStyle="1" w:styleId="CommentTextChar">
    <w:name w:val="Comment Text Char"/>
    <w:basedOn w:val="DefaultParagraphFont"/>
    <w:link w:val="CommentText"/>
    <w:uiPriority w:val="99"/>
    <w:semiHidden/>
    <w:rsid w:val="00D70FF1"/>
    <w:rPr>
      <w:sz w:val="20"/>
      <w:szCs w:val="20"/>
    </w:rPr>
  </w:style>
  <w:style w:type="paragraph" w:styleId="CommentSubject">
    <w:name w:val="annotation subject"/>
    <w:basedOn w:val="CommentText"/>
    <w:next w:val="CommentText"/>
    <w:link w:val="CommentSubjectChar"/>
    <w:uiPriority w:val="99"/>
    <w:semiHidden/>
    <w:unhideWhenUsed/>
    <w:rsid w:val="00D70FF1"/>
    <w:rPr>
      <w:b/>
      <w:bCs/>
    </w:rPr>
  </w:style>
  <w:style w:type="character" w:customStyle="1" w:styleId="CommentSubjectChar">
    <w:name w:val="Comment Subject Char"/>
    <w:basedOn w:val="CommentTextChar"/>
    <w:link w:val="CommentSubject"/>
    <w:uiPriority w:val="99"/>
    <w:semiHidden/>
    <w:rsid w:val="00D70FF1"/>
    <w:rPr>
      <w:b/>
      <w:bCs/>
      <w:sz w:val="20"/>
      <w:szCs w:val="20"/>
    </w:rPr>
  </w:style>
  <w:style w:type="paragraph" w:styleId="BalloonText">
    <w:name w:val="Balloon Text"/>
    <w:basedOn w:val="Normal"/>
    <w:link w:val="BalloonTextChar"/>
    <w:uiPriority w:val="99"/>
    <w:semiHidden/>
    <w:unhideWhenUsed/>
    <w:rsid w:val="00D70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F1"/>
    <w:rPr>
      <w:rFonts w:ascii="Segoe UI" w:hAnsi="Segoe UI" w:cs="Segoe UI"/>
      <w:sz w:val="18"/>
      <w:szCs w:val="18"/>
    </w:rPr>
  </w:style>
  <w:style w:type="character" w:customStyle="1" w:styleId="Heading1Char">
    <w:name w:val="Heading 1 Char"/>
    <w:basedOn w:val="DefaultParagraphFont"/>
    <w:link w:val="Heading1"/>
    <w:uiPriority w:val="9"/>
    <w:rsid w:val="00C90E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C90E8A"/>
    <w:pPr>
      <w:outlineLvl w:val="9"/>
    </w:pPr>
  </w:style>
  <w:style w:type="paragraph" w:styleId="TOC2">
    <w:name w:val="toc 2"/>
    <w:basedOn w:val="Normal"/>
    <w:next w:val="Normal"/>
    <w:autoRedefine/>
    <w:uiPriority w:val="39"/>
    <w:unhideWhenUsed/>
    <w:rsid w:val="00B77608"/>
    <w:pPr>
      <w:tabs>
        <w:tab w:val="left" w:pos="567"/>
        <w:tab w:val="right" w:leader="dot" w:pos="9017"/>
      </w:tabs>
      <w:spacing w:after="100"/>
      <w:ind w:left="220"/>
    </w:pPr>
    <w:rPr>
      <w:rFonts w:eastAsiaTheme="minorEastAsia" w:cs="Times New Roman"/>
      <w:b/>
      <w:bCs/>
      <w:noProof/>
    </w:rPr>
  </w:style>
  <w:style w:type="paragraph" w:styleId="TOC1">
    <w:name w:val="toc 1"/>
    <w:basedOn w:val="Normal"/>
    <w:next w:val="Normal"/>
    <w:autoRedefine/>
    <w:uiPriority w:val="39"/>
    <w:unhideWhenUsed/>
    <w:rsid w:val="00B77608"/>
    <w:pPr>
      <w:tabs>
        <w:tab w:val="right" w:leader="dot" w:pos="9017"/>
      </w:tabs>
      <w:spacing w:after="100"/>
    </w:pPr>
    <w:rPr>
      <w:rFonts w:eastAsiaTheme="minorEastAsia" w:cs="Times New Roman"/>
      <w:b/>
      <w:bCs/>
      <w:noProof/>
    </w:rPr>
  </w:style>
  <w:style w:type="paragraph" w:styleId="TOC3">
    <w:name w:val="toc 3"/>
    <w:basedOn w:val="Normal"/>
    <w:next w:val="Normal"/>
    <w:autoRedefine/>
    <w:uiPriority w:val="39"/>
    <w:unhideWhenUsed/>
    <w:rsid w:val="000E60F5"/>
    <w:pPr>
      <w:tabs>
        <w:tab w:val="right" w:leader="dot" w:pos="9017"/>
      </w:tabs>
      <w:spacing w:after="100"/>
      <w:ind w:left="851"/>
    </w:pPr>
    <w:rPr>
      <w:rFonts w:eastAsiaTheme="minorEastAsia" w:cs="Times New Roman"/>
    </w:rPr>
  </w:style>
  <w:style w:type="character" w:customStyle="1" w:styleId="Heading2Char">
    <w:name w:val="Heading 2 Char"/>
    <w:basedOn w:val="DefaultParagraphFont"/>
    <w:link w:val="Heading2"/>
    <w:uiPriority w:val="9"/>
    <w:semiHidden/>
    <w:rsid w:val="00C90E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0E8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90E8A"/>
    <w:rPr>
      <w:color w:val="0563C1" w:themeColor="hyperlink"/>
      <w:u w:val="single"/>
    </w:rPr>
  </w:style>
  <w:style w:type="table" w:styleId="TableGrid">
    <w:name w:val="Table Grid"/>
    <w:basedOn w:val="TableNormal"/>
    <w:uiPriority w:val="59"/>
    <w:rsid w:val="00A42225"/>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225"/>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A42225"/>
    <w:rPr>
      <w:sz w:val="20"/>
      <w:szCs w:val="20"/>
      <w:lang w:val="sr-Latn-RS"/>
    </w:rPr>
  </w:style>
  <w:style w:type="character" w:styleId="FootnoteReference">
    <w:name w:val="footnote reference"/>
    <w:basedOn w:val="DefaultParagraphFont"/>
    <w:uiPriority w:val="99"/>
    <w:semiHidden/>
    <w:unhideWhenUsed/>
    <w:rsid w:val="00A42225"/>
    <w:rPr>
      <w:vertAlign w:val="superscript"/>
    </w:rPr>
  </w:style>
  <w:style w:type="paragraph" w:styleId="ListParagraph">
    <w:name w:val="List Paragraph"/>
    <w:basedOn w:val="Normal"/>
    <w:uiPriority w:val="34"/>
    <w:qFormat/>
    <w:rsid w:val="008A6D92"/>
    <w:pPr>
      <w:ind w:left="720"/>
      <w:contextualSpacing/>
    </w:pPr>
  </w:style>
  <w:style w:type="table" w:customStyle="1" w:styleId="PlainTable51">
    <w:name w:val="Plain Table 51"/>
    <w:basedOn w:val="TableNormal"/>
    <w:uiPriority w:val="45"/>
    <w:rsid w:val="00CB19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
    <w:name w:val="Подн-3"/>
    <w:basedOn w:val="-2"/>
    <w:link w:val="-3Char"/>
    <w:qFormat/>
    <w:rsid w:val="00CB19A2"/>
    <w:pPr>
      <w:spacing w:before="240" w:after="120"/>
    </w:pPr>
    <w:rPr>
      <w:i/>
      <w:iCs/>
    </w:rPr>
  </w:style>
  <w:style w:type="paragraph" w:customStyle="1" w:styleId="-4">
    <w:name w:val="Подн-4"/>
    <w:basedOn w:val="-3"/>
    <w:link w:val="-4Char"/>
    <w:qFormat/>
    <w:rsid w:val="00CB19A2"/>
    <w:rPr>
      <w:i w:val="0"/>
      <w:iCs w:val="0"/>
    </w:rPr>
  </w:style>
  <w:style w:type="character" w:customStyle="1" w:styleId="-2Char">
    <w:name w:val="Подн-2 Char"/>
    <w:basedOn w:val="Tekst-1Char"/>
    <w:link w:val="-2"/>
    <w:rsid w:val="00CB19A2"/>
    <w:rPr>
      <w:rFonts w:ascii="Times New Roman" w:hAnsi="Times New Roman" w:cs="Times New Roman"/>
      <w:b/>
      <w:sz w:val="24"/>
      <w:szCs w:val="28"/>
      <w:lang w:val="sr-Cyrl-RS"/>
    </w:rPr>
  </w:style>
  <w:style w:type="character" w:customStyle="1" w:styleId="-3Char">
    <w:name w:val="Подн-3 Char"/>
    <w:basedOn w:val="-2Char"/>
    <w:link w:val="-3"/>
    <w:rsid w:val="00CB19A2"/>
    <w:rPr>
      <w:rFonts w:ascii="Times New Roman" w:hAnsi="Times New Roman" w:cs="Times New Roman"/>
      <w:b/>
      <w:i/>
      <w:iCs/>
      <w:sz w:val="24"/>
      <w:szCs w:val="28"/>
      <w:lang w:val="sr-Cyrl-RS"/>
    </w:rPr>
  </w:style>
  <w:style w:type="paragraph" w:styleId="TOC4">
    <w:name w:val="toc 4"/>
    <w:basedOn w:val="Normal"/>
    <w:next w:val="Normal"/>
    <w:autoRedefine/>
    <w:uiPriority w:val="39"/>
    <w:unhideWhenUsed/>
    <w:rsid w:val="000E60F5"/>
    <w:pPr>
      <w:tabs>
        <w:tab w:val="right" w:leader="dot" w:pos="9017"/>
      </w:tabs>
      <w:spacing w:after="100"/>
      <w:ind w:left="1276"/>
    </w:pPr>
  </w:style>
  <w:style w:type="character" w:customStyle="1" w:styleId="-4Char">
    <w:name w:val="Подн-4 Char"/>
    <w:basedOn w:val="-3Char"/>
    <w:link w:val="-4"/>
    <w:rsid w:val="00CB19A2"/>
    <w:rPr>
      <w:rFonts w:ascii="Times New Roman" w:hAnsi="Times New Roman" w:cs="Times New Roman"/>
      <w:b/>
      <w:i w:val="0"/>
      <w:iCs w:val="0"/>
      <w:sz w:val="24"/>
      <w:szCs w:val="28"/>
      <w:lang w:val="sr-Cyrl-RS"/>
    </w:rPr>
  </w:style>
  <w:style w:type="paragraph" w:styleId="TOC5">
    <w:name w:val="toc 5"/>
    <w:basedOn w:val="Normal"/>
    <w:next w:val="Normal"/>
    <w:autoRedefine/>
    <w:uiPriority w:val="39"/>
    <w:unhideWhenUsed/>
    <w:rsid w:val="009B2F4E"/>
    <w:pPr>
      <w:tabs>
        <w:tab w:val="right" w:leader="dot" w:pos="9017"/>
      </w:tabs>
      <w:spacing w:after="100"/>
      <w:ind w:left="1701"/>
    </w:pPr>
  </w:style>
  <w:style w:type="paragraph" w:styleId="Revision">
    <w:name w:val="Revision"/>
    <w:hidden/>
    <w:uiPriority w:val="99"/>
    <w:semiHidden/>
    <w:rsid w:val="00336E66"/>
    <w:pPr>
      <w:spacing w:after="0" w:line="240" w:lineRule="auto"/>
    </w:pPr>
  </w:style>
  <w:style w:type="paragraph" w:styleId="NormalWeb">
    <w:name w:val="Normal (Web)"/>
    <w:basedOn w:val="Normal"/>
    <w:uiPriority w:val="99"/>
    <w:semiHidden/>
    <w:unhideWhenUsed/>
    <w:rsid w:val="003840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4070"/>
    <w:rPr>
      <w:i/>
      <w:iCs/>
    </w:rPr>
  </w:style>
  <w:style w:type="paragraph" w:customStyle="1" w:styleId="a0">
    <w:name w:val="Табела"/>
    <w:basedOn w:val="Tekst-1"/>
    <w:link w:val="Char"/>
    <w:qFormat/>
    <w:rsid w:val="003A23F7"/>
    <w:pPr>
      <w:ind w:firstLine="0"/>
    </w:pPr>
    <w:rPr>
      <w:rFonts w:asciiTheme="minorHAnsi" w:hAnsiTheme="minorHAnsi" w:cstheme="minorHAnsi"/>
      <w:i/>
      <w:iCs/>
      <w:bdr w:val="none" w:sz="0" w:space="0" w:color="auto" w:frame="1"/>
    </w:rPr>
  </w:style>
  <w:style w:type="paragraph" w:customStyle="1" w:styleId="Default">
    <w:name w:val="Default"/>
    <w:rsid w:val="003856CF"/>
    <w:pPr>
      <w:autoSpaceDE w:val="0"/>
      <w:autoSpaceDN w:val="0"/>
      <w:adjustRightInd w:val="0"/>
      <w:spacing w:after="0" w:line="240" w:lineRule="auto"/>
    </w:pPr>
    <w:rPr>
      <w:rFonts w:ascii="Arial" w:hAnsi="Arial" w:cs="Arial"/>
      <w:color w:val="000000"/>
      <w:sz w:val="24"/>
      <w:szCs w:val="24"/>
    </w:rPr>
  </w:style>
  <w:style w:type="character" w:customStyle="1" w:styleId="Char">
    <w:name w:val="Табела Char"/>
    <w:basedOn w:val="Tekst-1Char"/>
    <w:link w:val="a0"/>
    <w:rsid w:val="003A23F7"/>
    <w:rPr>
      <w:rFonts w:ascii="Times New Roman" w:hAnsi="Times New Roman" w:cstheme="minorHAnsi"/>
      <w:i/>
      <w:iCs/>
      <w:sz w:val="24"/>
      <w:szCs w:val="28"/>
      <w:bdr w:val="none" w:sz="0" w:space="0" w:color="auto" w:frame="1"/>
      <w:lang w:val="sr-Cyrl-RS"/>
    </w:rPr>
  </w:style>
  <w:style w:type="character" w:styleId="Strong">
    <w:name w:val="Strong"/>
    <w:basedOn w:val="DefaultParagraphFont"/>
    <w:uiPriority w:val="22"/>
    <w:qFormat/>
    <w:rsid w:val="005C417A"/>
    <w:rPr>
      <w:b/>
      <w:bCs/>
    </w:rPr>
  </w:style>
  <w:style w:type="paragraph" w:styleId="Caption">
    <w:name w:val="caption"/>
    <w:basedOn w:val="Normal"/>
    <w:next w:val="Normal"/>
    <w:uiPriority w:val="35"/>
    <w:semiHidden/>
    <w:unhideWhenUsed/>
    <w:qFormat/>
    <w:rsid w:val="0006491F"/>
    <w:pPr>
      <w:spacing w:after="200" w:line="240" w:lineRule="auto"/>
    </w:pPr>
    <w:rPr>
      <w:rFonts w:ascii="Calibri" w:eastAsia="Calibri" w:hAnsi="Calibri" w:cs="Times New Roman"/>
      <w:i/>
      <w:iCs/>
      <w:color w:val="44546A" w:themeColor="text2"/>
      <w:sz w:val="18"/>
      <w:szCs w:val="18"/>
    </w:rPr>
  </w:style>
  <w:style w:type="table" w:customStyle="1" w:styleId="TableGrid1">
    <w:name w:val="Table Grid1"/>
    <w:basedOn w:val="TableNormal"/>
    <w:next w:val="TableGrid"/>
    <w:uiPriority w:val="59"/>
    <w:rsid w:val="006101C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101C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semiHidden/>
    <w:rsid w:val="00EC1485"/>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372F77"/>
  </w:style>
  <w:style w:type="paragraph" w:styleId="Heading1">
    <w:name w:val="heading 1"/>
    <w:basedOn w:val="Normal"/>
    <w:next w:val="Normal"/>
    <w:link w:val="Heading1Char"/>
    <w:uiPriority w:val="9"/>
    <w:qFormat/>
    <w:rsid w:val="00C90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0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0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EC148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АДРЖАЈ"/>
    <w:basedOn w:val="Normal"/>
    <w:qFormat/>
    <w:rsid w:val="00FD0D21"/>
    <w:pPr>
      <w:spacing w:after="480" w:line="240" w:lineRule="auto"/>
    </w:pPr>
    <w:rPr>
      <w:rFonts w:ascii="Times New Roman" w:hAnsi="Times New Roman" w:cs="Times New Roman"/>
      <w:b/>
      <w:sz w:val="28"/>
      <w:szCs w:val="28"/>
      <w:lang w:val="sr-Cyrl-RS"/>
    </w:rPr>
  </w:style>
  <w:style w:type="paragraph" w:styleId="Header">
    <w:name w:val="header"/>
    <w:basedOn w:val="Normal"/>
    <w:link w:val="HeaderChar"/>
    <w:uiPriority w:val="99"/>
    <w:unhideWhenUsed/>
    <w:rsid w:val="00FD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21"/>
  </w:style>
  <w:style w:type="paragraph" w:styleId="Footer">
    <w:name w:val="footer"/>
    <w:basedOn w:val="Normal"/>
    <w:link w:val="FooterChar"/>
    <w:uiPriority w:val="99"/>
    <w:unhideWhenUsed/>
    <w:rsid w:val="00FD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21"/>
  </w:style>
  <w:style w:type="paragraph" w:customStyle="1" w:styleId="-10">
    <w:name w:val="НАСЛОВ-1"/>
    <w:basedOn w:val="Normal"/>
    <w:link w:val="-1Char"/>
    <w:qFormat/>
    <w:rsid w:val="00874DE8"/>
    <w:pPr>
      <w:spacing w:before="240" w:after="360" w:line="240" w:lineRule="auto"/>
    </w:pPr>
    <w:rPr>
      <w:rFonts w:ascii="Times New Roman" w:hAnsi="Times New Roman" w:cs="Times New Roman"/>
      <w:b/>
      <w:caps/>
      <w:sz w:val="28"/>
      <w:szCs w:val="28"/>
      <w:lang w:val="sr-Cyrl-RS"/>
    </w:rPr>
  </w:style>
  <w:style w:type="paragraph" w:customStyle="1" w:styleId="Tekst-1">
    <w:name w:val="Tekst-1"/>
    <w:basedOn w:val="Normal"/>
    <w:link w:val="Tekst-1Char"/>
    <w:qFormat/>
    <w:rsid w:val="006F14A0"/>
    <w:pPr>
      <w:spacing w:before="120" w:after="120" w:line="240" w:lineRule="auto"/>
      <w:ind w:firstLine="567"/>
      <w:jc w:val="both"/>
    </w:pPr>
    <w:rPr>
      <w:rFonts w:ascii="Times New Roman" w:hAnsi="Times New Roman" w:cs="Times New Roman"/>
      <w:sz w:val="24"/>
      <w:szCs w:val="28"/>
      <w:lang w:val="sr-Cyrl-RS"/>
    </w:rPr>
  </w:style>
  <w:style w:type="character" w:customStyle="1" w:styleId="-1Char">
    <w:name w:val="НАСЛОВ-1 Char"/>
    <w:basedOn w:val="DefaultParagraphFont"/>
    <w:link w:val="-10"/>
    <w:rsid w:val="00874DE8"/>
    <w:rPr>
      <w:rFonts w:ascii="Times New Roman" w:hAnsi="Times New Roman" w:cs="Times New Roman"/>
      <w:b/>
      <w:caps/>
      <w:sz w:val="28"/>
      <w:szCs w:val="28"/>
      <w:lang w:val="sr-Cyrl-RS"/>
    </w:rPr>
  </w:style>
  <w:style w:type="paragraph" w:customStyle="1" w:styleId="-1">
    <w:name w:val="Подн-1"/>
    <w:qFormat/>
    <w:rsid w:val="008A6D92"/>
    <w:pPr>
      <w:numPr>
        <w:numId w:val="3"/>
      </w:numPr>
      <w:spacing w:before="240" w:after="360"/>
    </w:pPr>
    <w:rPr>
      <w:rFonts w:ascii="Times New Roman" w:hAnsi="Times New Roman" w:cs="Times New Roman"/>
      <w:b/>
      <w:sz w:val="28"/>
      <w:szCs w:val="28"/>
      <w:lang w:val="sr-Cyrl-RS"/>
    </w:rPr>
  </w:style>
  <w:style w:type="character" w:customStyle="1" w:styleId="Tekst-1Char">
    <w:name w:val="Tekst-1 Char"/>
    <w:basedOn w:val="DefaultParagraphFont"/>
    <w:link w:val="Tekst-1"/>
    <w:rsid w:val="006F14A0"/>
    <w:rPr>
      <w:rFonts w:ascii="Times New Roman" w:hAnsi="Times New Roman" w:cs="Times New Roman"/>
      <w:sz w:val="24"/>
      <w:szCs w:val="28"/>
      <w:lang w:val="sr-Cyrl-RS"/>
    </w:rPr>
  </w:style>
  <w:style w:type="paragraph" w:customStyle="1" w:styleId="-2">
    <w:name w:val="Подн-2"/>
    <w:basedOn w:val="Tekst-1"/>
    <w:link w:val="-2Char"/>
    <w:qFormat/>
    <w:rsid w:val="006767C3"/>
    <w:pPr>
      <w:spacing w:before="360" w:after="240"/>
    </w:pPr>
    <w:rPr>
      <w:b/>
    </w:rPr>
  </w:style>
  <w:style w:type="character" w:styleId="CommentReference">
    <w:name w:val="annotation reference"/>
    <w:basedOn w:val="DefaultParagraphFont"/>
    <w:uiPriority w:val="99"/>
    <w:semiHidden/>
    <w:unhideWhenUsed/>
    <w:rsid w:val="00D70FF1"/>
    <w:rPr>
      <w:sz w:val="16"/>
      <w:szCs w:val="16"/>
    </w:rPr>
  </w:style>
  <w:style w:type="paragraph" w:styleId="CommentText">
    <w:name w:val="annotation text"/>
    <w:basedOn w:val="Normal"/>
    <w:link w:val="CommentTextChar"/>
    <w:uiPriority w:val="99"/>
    <w:semiHidden/>
    <w:unhideWhenUsed/>
    <w:rsid w:val="00D70FF1"/>
    <w:pPr>
      <w:spacing w:line="240" w:lineRule="auto"/>
    </w:pPr>
    <w:rPr>
      <w:sz w:val="20"/>
      <w:szCs w:val="20"/>
    </w:rPr>
  </w:style>
  <w:style w:type="character" w:customStyle="1" w:styleId="CommentTextChar">
    <w:name w:val="Comment Text Char"/>
    <w:basedOn w:val="DefaultParagraphFont"/>
    <w:link w:val="CommentText"/>
    <w:uiPriority w:val="99"/>
    <w:semiHidden/>
    <w:rsid w:val="00D70FF1"/>
    <w:rPr>
      <w:sz w:val="20"/>
      <w:szCs w:val="20"/>
    </w:rPr>
  </w:style>
  <w:style w:type="paragraph" w:styleId="CommentSubject">
    <w:name w:val="annotation subject"/>
    <w:basedOn w:val="CommentText"/>
    <w:next w:val="CommentText"/>
    <w:link w:val="CommentSubjectChar"/>
    <w:uiPriority w:val="99"/>
    <w:semiHidden/>
    <w:unhideWhenUsed/>
    <w:rsid w:val="00D70FF1"/>
    <w:rPr>
      <w:b/>
      <w:bCs/>
    </w:rPr>
  </w:style>
  <w:style w:type="character" w:customStyle="1" w:styleId="CommentSubjectChar">
    <w:name w:val="Comment Subject Char"/>
    <w:basedOn w:val="CommentTextChar"/>
    <w:link w:val="CommentSubject"/>
    <w:uiPriority w:val="99"/>
    <w:semiHidden/>
    <w:rsid w:val="00D70FF1"/>
    <w:rPr>
      <w:b/>
      <w:bCs/>
      <w:sz w:val="20"/>
      <w:szCs w:val="20"/>
    </w:rPr>
  </w:style>
  <w:style w:type="paragraph" w:styleId="BalloonText">
    <w:name w:val="Balloon Text"/>
    <w:basedOn w:val="Normal"/>
    <w:link w:val="BalloonTextChar"/>
    <w:uiPriority w:val="99"/>
    <w:semiHidden/>
    <w:unhideWhenUsed/>
    <w:rsid w:val="00D70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F1"/>
    <w:rPr>
      <w:rFonts w:ascii="Segoe UI" w:hAnsi="Segoe UI" w:cs="Segoe UI"/>
      <w:sz w:val="18"/>
      <w:szCs w:val="18"/>
    </w:rPr>
  </w:style>
  <w:style w:type="character" w:customStyle="1" w:styleId="Heading1Char">
    <w:name w:val="Heading 1 Char"/>
    <w:basedOn w:val="DefaultParagraphFont"/>
    <w:link w:val="Heading1"/>
    <w:uiPriority w:val="9"/>
    <w:rsid w:val="00C90E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C90E8A"/>
    <w:pPr>
      <w:outlineLvl w:val="9"/>
    </w:pPr>
  </w:style>
  <w:style w:type="paragraph" w:styleId="TOC2">
    <w:name w:val="toc 2"/>
    <w:basedOn w:val="Normal"/>
    <w:next w:val="Normal"/>
    <w:autoRedefine/>
    <w:uiPriority w:val="39"/>
    <w:unhideWhenUsed/>
    <w:rsid w:val="00B77608"/>
    <w:pPr>
      <w:tabs>
        <w:tab w:val="left" w:pos="567"/>
        <w:tab w:val="right" w:leader="dot" w:pos="9017"/>
      </w:tabs>
      <w:spacing w:after="100"/>
      <w:ind w:left="220"/>
    </w:pPr>
    <w:rPr>
      <w:rFonts w:eastAsiaTheme="minorEastAsia" w:cs="Times New Roman"/>
      <w:b/>
      <w:bCs/>
      <w:noProof/>
    </w:rPr>
  </w:style>
  <w:style w:type="paragraph" w:styleId="TOC1">
    <w:name w:val="toc 1"/>
    <w:basedOn w:val="Normal"/>
    <w:next w:val="Normal"/>
    <w:autoRedefine/>
    <w:uiPriority w:val="39"/>
    <w:unhideWhenUsed/>
    <w:rsid w:val="00B77608"/>
    <w:pPr>
      <w:tabs>
        <w:tab w:val="right" w:leader="dot" w:pos="9017"/>
      </w:tabs>
      <w:spacing w:after="100"/>
    </w:pPr>
    <w:rPr>
      <w:rFonts w:eastAsiaTheme="minorEastAsia" w:cs="Times New Roman"/>
      <w:b/>
      <w:bCs/>
      <w:noProof/>
    </w:rPr>
  </w:style>
  <w:style w:type="paragraph" w:styleId="TOC3">
    <w:name w:val="toc 3"/>
    <w:basedOn w:val="Normal"/>
    <w:next w:val="Normal"/>
    <w:autoRedefine/>
    <w:uiPriority w:val="39"/>
    <w:unhideWhenUsed/>
    <w:rsid w:val="000E60F5"/>
    <w:pPr>
      <w:tabs>
        <w:tab w:val="right" w:leader="dot" w:pos="9017"/>
      </w:tabs>
      <w:spacing w:after="100"/>
      <w:ind w:left="851"/>
    </w:pPr>
    <w:rPr>
      <w:rFonts w:eastAsiaTheme="minorEastAsia" w:cs="Times New Roman"/>
    </w:rPr>
  </w:style>
  <w:style w:type="character" w:customStyle="1" w:styleId="Heading2Char">
    <w:name w:val="Heading 2 Char"/>
    <w:basedOn w:val="DefaultParagraphFont"/>
    <w:link w:val="Heading2"/>
    <w:uiPriority w:val="9"/>
    <w:semiHidden/>
    <w:rsid w:val="00C90E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0E8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90E8A"/>
    <w:rPr>
      <w:color w:val="0563C1" w:themeColor="hyperlink"/>
      <w:u w:val="single"/>
    </w:rPr>
  </w:style>
  <w:style w:type="table" w:styleId="TableGrid">
    <w:name w:val="Table Grid"/>
    <w:basedOn w:val="TableNormal"/>
    <w:uiPriority w:val="59"/>
    <w:rsid w:val="00A42225"/>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225"/>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A42225"/>
    <w:rPr>
      <w:sz w:val="20"/>
      <w:szCs w:val="20"/>
      <w:lang w:val="sr-Latn-RS"/>
    </w:rPr>
  </w:style>
  <w:style w:type="character" w:styleId="FootnoteReference">
    <w:name w:val="footnote reference"/>
    <w:basedOn w:val="DefaultParagraphFont"/>
    <w:uiPriority w:val="99"/>
    <w:semiHidden/>
    <w:unhideWhenUsed/>
    <w:rsid w:val="00A42225"/>
    <w:rPr>
      <w:vertAlign w:val="superscript"/>
    </w:rPr>
  </w:style>
  <w:style w:type="paragraph" w:styleId="ListParagraph">
    <w:name w:val="List Paragraph"/>
    <w:basedOn w:val="Normal"/>
    <w:uiPriority w:val="34"/>
    <w:qFormat/>
    <w:rsid w:val="008A6D92"/>
    <w:pPr>
      <w:ind w:left="720"/>
      <w:contextualSpacing/>
    </w:pPr>
  </w:style>
  <w:style w:type="table" w:customStyle="1" w:styleId="PlainTable51">
    <w:name w:val="Plain Table 51"/>
    <w:basedOn w:val="TableNormal"/>
    <w:uiPriority w:val="45"/>
    <w:rsid w:val="00CB19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
    <w:name w:val="Подн-3"/>
    <w:basedOn w:val="-2"/>
    <w:link w:val="-3Char"/>
    <w:qFormat/>
    <w:rsid w:val="00CB19A2"/>
    <w:pPr>
      <w:spacing w:before="240" w:after="120"/>
    </w:pPr>
    <w:rPr>
      <w:i/>
      <w:iCs/>
    </w:rPr>
  </w:style>
  <w:style w:type="paragraph" w:customStyle="1" w:styleId="-4">
    <w:name w:val="Подн-4"/>
    <w:basedOn w:val="-3"/>
    <w:link w:val="-4Char"/>
    <w:qFormat/>
    <w:rsid w:val="00CB19A2"/>
    <w:rPr>
      <w:i w:val="0"/>
      <w:iCs w:val="0"/>
    </w:rPr>
  </w:style>
  <w:style w:type="character" w:customStyle="1" w:styleId="-2Char">
    <w:name w:val="Подн-2 Char"/>
    <w:basedOn w:val="Tekst-1Char"/>
    <w:link w:val="-2"/>
    <w:rsid w:val="00CB19A2"/>
    <w:rPr>
      <w:rFonts w:ascii="Times New Roman" w:hAnsi="Times New Roman" w:cs="Times New Roman"/>
      <w:b/>
      <w:sz w:val="24"/>
      <w:szCs w:val="28"/>
      <w:lang w:val="sr-Cyrl-RS"/>
    </w:rPr>
  </w:style>
  <w:style w:type="character" w:customStyle="1" w:styleId="-3Char">
    <w:name w:val="Подн-3 Char"/>
    <w:basedOn w:val="-2Char"/>
    <w:link w:val="-3"/>
    <w:rsid w:val="00CB19A2"/>
    <w:rPr>
      <w:rFonts w:ascii="Times New Roman" w:hAnsi="Times New Roman" w:cs="Times New Roman"/>
      <w:b/>
      <w:i/>
      <w:iCs/>
      <w:sz w:val="24"/>
      <w:szCs w:val="28"/>
      <w:lang w:val="sr-Cyrl-RS"/>
    </w:rPr>
  </w:style>
  <w:style w:type="paragraph" w:styleId="TOC4">
    <w:name w:val="toc 4"/>
    <w:basedOn w:val="Normal"/>
    <w:next w:val="Normal"/>
    <w:autoRedefine/>
    <w:uiPriority w:val="39"/>
    <w:unhideWhenUsed/>
    <w:rsid w:val="000E60F5"/>
    <w:pPr>
      <w:tabs>
        <w:tab w:val="right" w:leader="dot" w:pos="9017"/>
      </w:tabs>
      <w:spacing w:after="100"/>
      <w:ind w:left="1276"/>
    </w:pPr>
  </w:style>
  <w:style w:type="character" w:customStyle="1" w:styleId="-4Char">
    <w:name w:val="Подн-4 Char"/>
    <w:basedOn w:val="-3Char"/>
    <w:link w:val="-4"/>
    <w:rsid w:val="00CB19A2"/>
    <w:rPr>
      <w:rFonts w:ascii="Times New Roman" w:hAnsi="Times New Roman" w:cs="Times New Roman"/>
      <w:b/>
      <w:i w:val="0"/>
      <w:iCs w:val="0"/>
      <w:sz w:val="24"/>
      <w:szCs w:val="28"/>
      <w:lang w:val="sr-Cyrl-RS"/>
    </w:rPr>
  </w:style>
  <w:style w:type="paragraph" w:styleId="TOC5">
    <w:name w:val="toc 5"/>
    <w:basedOn w:val="Normal"/>
    <w:next w:val="Normal"/>
    <w:autoRedefine/>
    <w:uiPriority w:val="39"/>
    <w:unhideWhenUsed/>
    <w:rsid w:val="009B2F4E"/>
    <w:pPr>
      <w:tabs>
        <w:tab w:val="right" w:leader="dot" w:pos="9017"/>
      </w:tabs>
      <w:spacing w:after="100"/>
      <w:ind w:left="1701"/>
    </w:pPr>
  </w:style>
  <w:style w:type="paragraph" w:styleId="Revision">
    <w:name w:val="Revision"/>
    <w:hidden/>
    <w:uiPriority w:val="99"/>
    <w:semiHidden/>
    <w:rsid w:val="00336E66"/>
    <w:pPr>
      <w:spacing w:after="0" w:line="240" w:lineRule="auto"/>
    </w:pPr>
  </w:style>
  <w:style w:type="paragraph" w:styleId="NormalWeb">
    <w:name w:val="Normal (Web)"/>
    <w:basedOn w:val="Normal"/>
    <w:uiPriority w:val="99"/>
    <w:semiHidden/>
    <w:unhideWhenUsed/>
    <w:rsid w:val="003840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4070"/>
    <w:rPr>
      <w:i/>
      <w:iCs/>
    </w:rPr>
  </w:style>
  <w:style w:type="paragraph" w:customStyle="1" w:styleId="a0">
    <w:name w:val="Табела"/>
    <w:basedOn w:val="Tekst-1"/>
    <w:link w:val="Char"/>
    <w:qFormat/>
    <w:rsid w:val="003A23F7"/>
    <w:pPr>
      <w:ind w:firstLine="0"/>
    </w:pPr>
    <w:rPr>
      <w:rFonts w:asciiTheme="minorHAnsi" w:hAnsiTheme="minorHAnsi" w:cstheme="minorHAnsi"/>
      <w:i/>
      <w:iCs/>
      <w:bdr w:val="none" w:sz="0" w:space="0" w:color="auto" w:frame="1"/>
    </w:rPr>
  </w:style>
  <w:style w:type="paragraph" w:customStyle="1" w:styleId="Default">
    <w:name w:val="Default"/>
    <w:rsid w:val="003856CF"/>
    <w:pPr>
      <w:autoSpaceDE w:val="0"/>
      <w:autoSpaceDN w:val="0"/>
      <w:adjustRightInd w:val="0"/>
      <w:spacing w:after="0" w:line="240" w:lineRule="auto"/>
    </w:pPr>
    <w:rPr>
      <w:rFonts w:ascii="Arial" w:hAnsi="Arial" w:cs="Arial"/>
      <w:color w:val="000000"/>
      <w:sz w:val="24"/>
      <w:szCs w:val="24"/>
    </w:rPr>
  </w:style>
  <w:style w:type="character" w:customStyle="1" w:styleId="Char">
    <w:name w:val="Табела Char"/>
    <w:basedOn w:val="Tekst-1Char"/>
    <w:link w:val="a0"/>
    <w:rsid w:val="003A23F7"/>
    <w:rPr>
      <w:rFonts w:ascii="Times New Roman" w:hAnsi="Times New Roman" w:cstheme="minorHAnsi"/>
      <w:i/>
      <w:iCs/>
      <w:sz w:val="24"/>
      <w:szCs w:val="28"/>
      <w:bdr w:val="none" w:sz="0" w:space="0" w:color="auto" w:frame="1"/>
      <w:lang w:val="sr-Cyrl-RS"/>
    </w:rPr>
  </w:style>
  <w:style w:type="character" w:styleId="Strong">
    <w:name w:val="Strong"/>
    <w:basedOn w:val="DefaultParagraphFont"/>
    <w:uiPriority w:val="22"/>
    <w:qFormat/>
    <w:rsid w:val="005C417A"/>
    <w:rPr>
      <w:b/>
      <w:bCs/>
    </w:rPr>
  </w:style>
  <w:style w:type="paragraph" w:styleId="Caption">
    <w:name w:val="caption"/>
    <w:basedOn w:val="Normal"/>
    <w:next w:val="Normal"/>
    <w:uiPriority w:val="35"/>
    <w:semiHidden/>
    <w:unhideWhenUsed/>
    <w:qFormat/>
    <w:rsid w:val="0006491F"/>
    <w:pPr>
      <w:spacing w:after="200" w:line="240" w:lineRule="auto"/>
    </w:pPr>
    <w:rPr>
      <w:rFonts w:ascii="Calibri" w:eastAsia="Calibri" w:hAnsi="Calibri" w:cs="Times New Roman"/>
      <w:i/>
      <w:iCs/>
      <w:color w:val="44546A" w:themeColor="text2"/>
      <w:sz w:val="18"/>
      <w:szCs w:val="18"/>
    </w:rPr>
  </w:style>
  <w:style w:type="table" w:customStyle="1" w:styleId="TableGrid1">
    <w:name w:val="Table Grid1"/>
    <w:basedOn w:val="TableNormal"/>
    <w:next w:val="TableGrid"/>
    <w:uiPriority w:val="59"/>
    <w:rsid w:val="006101C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101C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semiHidden/>
    <w:rsid w:val="00EC1485"/>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3287">
      <w:bodyDiv w:val="1"/>
      <w:marLeft w:val="0"/>
      <w:marRight w:val="0"/>
      <w:marTop w:val="0"/>
      <w:marBottom w:val="0"/>
      <w:divBdr>
        <w:top w:val="none" w:sz="0" w:space="0" w:color="auto"/>
        <w:left w:val="none" w:sz="0" w:space="0" w:color="auto"/>
        <w:bottom w:val="none" w:sz="0" w:space="0" w:color="auto"/>
        <w:right w:val="none" w:sz="0" w:space="0" w:color="auto"/>
      </w:divBdr>
    </w:div>
    <w:div w:id="1253464602">
      <w:bodyDiv w:val="1"/>
      <w:marLeft w:val="0"/>
      <w:marRight w:val="0"/>
      <w:marTop w:val="0"/>
      <w:marBottom w:val="0"/>
      <w:divBdr>
        <w:top w:val="none" w:sz="0" w:space="0" w:color="auto"/>
        <w:left w:val="none" w:sz="0" w:space="0" w:color="auto"/>
        <w:bottom w:val="none" w:sz="0" w:space="0" w:color="auto"/>
        <w:right w:val="none" w:sz="0" w:space="0" w:color="auto"/>
      </w:divBdr>
    </w:div>
    <w:div w:id="1278296004">
      <w:bodyDiv w:val="1"/>
      <w:marLeft w:val="0"/>
      <w:marRight w:val="0"/>
      <w:marTop w:val="0"/>
      <w:marBottom w:val="0"/>
      <w:divBdr>
        <w:top w:val="none" w:sz="0" w:space="0" w:color="auto"/>
        <w:left w:val="none" w:sz="0" w:space="0" w:color="auto"/>
        <w:bottom w:val="none" w:sz="0" w:space="0" w:color="auto"/>
        <w:right w:val="none" w:sz="0" w:space="0" w:color="auto"/>
      </w:divBdr>
    </w:div>
    <w:div w:id="1310212711">
      <w:bodyDiv w:val="1"/>
      <w:marLeft w:val="0"/>
      <w:marRight w:val="0"/>
      <w:marTop w:val="0"/>
      <w:marBottom w:val="0"/>
      <w:divBdr>
        <w:top w:val="none" w:sz="0" w:space="0" w:color="auto"/>
        <w:left w:val="none" w:sz="0" w:space="0" w:color="auto"/>
        <w:bottom w:val="none" w:sz="0" w:space="0" w:color="auto"/>
        <w:right w:val="none" w:sz="0" w:space="0" w:color="auto"/>
      </w:divBdr>
    </w:div>
    <w:div w:id="14374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www.facebook.com/jastrebcanka" TargetMode="Externa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Република Србија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47450</c:v>
                </c:pt>
                <c:pt idx="1">
                  <c:v>52733</c:v>
                </c:pt>
                <c:pt idx="2">
                  <c:v>57430</c:v>
                </c:pt>
                <c:pt idx="3">
                  <c:v>60708</c:v>
                </c:pt>
                <c:pt idx="4">
                  <c:v>61426</c:v>
                </c:pt>
                <c:pt idx="5">
                  <c:v>61145</c:v>
                </c:pt>
                <c:pt idx="6">
                  <c:v>63474</c:v>
                </c:pt>
                <c:pt idx="7">
                  <c:v>65976</c:v>
                </c:pt>
                <c:pt idx="8">
                  <c:v>68629</c:v>
                </c:pt>
                <c:pt idx="9">
                  <c:v>75814</c:v>
                </c:pt>
              </c:numCache>
            </c:numRef>
          </c:val>
          <c:smooth val="0"/>
          <c:extLst xmlns:c16r2="http://schemas.microsoft.com/office/drawing/2015/06/chart">
            <c:ext xmlns:c16="http://schemas.microsoft.com/office/drawing/2014/chart" uri="{C3380CC4-5D6E-409C-BE32-E72D297353CC}">
              <c16:uniqueId val="{00000000-750B-4E0A-BAB4-D8F62435DDD7}"/>
            </c:ext>
          </c:extLst>
        </c:ser>
        <c:ser>
          <c:idx val="1"/>
          <c:order val="1"/>
          <c:tx>
            <c:strRef>
              <c:f>Sheet1!$C$1</c:f>
              <c:strCache>
                <c:ptCount val="1"/>
                <c:pt idx="0">
                  <c:v>Блаце</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32836</c:v>
                </c:pt>
                <c:pt idx="1">
                  <c:v>38015</c:v>
                </c:pt>
                <c:pt idx="2">
                  <c:v>41937</c:v>
                </c:pt>
                <c:pt idx="3">
                  <c:v>43430</c:v>
                </c:pt>
                <c:pt idx="4">
                  <c:v>42445</c:v>
                </c:pt>
                <c:pt idx="5">
                  <c:v>45415</c:v>
                </c:pt>
                <c:pt idx="6">
                  <c:v>45183</c:v>
                </c:pt>
                <c:pt idx="7">
                  <c:v>48529</c:v>
                </c:pt>
                <c:pt idx="8">
                  <c:v>52142</c:v>
                </c:pt>
                <c:pt idx="9">
                  <c:v>56597</c:v>
                </c:pt>
              </c:numCache>
            </c:numRef>
          </c:val>
          <c:smooth val="0"/>
          <c:extLst xmlns:c16r2="http://schemas.microsoft.com/office/drawing/2015/06/chart">
            <c:ext xmlns:c16="http://schemas.microsoft.com/office/drawing/2014/chart" uri="{C3380CC4-5D6E-409C-BE32-E72D297353CC}">
              <c16:uniqueId val="{00000001-750B-4E0A-BAB4-D8F62435DDD7}"/>
            </c:ext>
          </c:extLst>
        </c:ser>
        <c:ser>
          <c:idx val="2"/>
          <c:order val="2"/>
          <c:tx>
            <c:strRef>
              <c:f>Sheet1!$D$1</c:f>
              <c:strCache>
                <c:ptCount val="1"/>
                <c:pt idx="0">
                  <c:v>Прокупље</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Sheet1!$D$2:$D$11</c:f>
              <c:numCache>
                <c:formatCode>General</c:formatCode>
                <c:ptCount val="10"/>
                <c:pt idx="0">
                  <c:v>35849</c:v>
                </c:pt>
                <c:pt idx="1">
                  <c:v>38251</c:v>
                </c:pt>
                <c:pt idx="2">
                  <c:v>43133</c:v>
                </c:pt>
                <c:pt idx="3">
                  <c:v>46769</c:v>
                </c:pt>
                <c:pt idx="4">
                  <c:v>46791</c:v>
                </c:pt>
                <c:pt idx="5">
                  <c:v>45874</c:v>
                </c:pt>
                <c:pt idx="6">
                  <c:v>47102</c:v>
                </c:pt>
                <c:pt idx="7">
                  <c:v>48755</c:v>
                </c:pt>
                <c:pt idx="8">
                  <c:v>56606</c:v>
                </c:pt>
                <c:pt idx="9">
                  <c:v>63293</c:v>
                </c:pt>
              </c:numCache>
            </c:numRef>
          </c:val>
          <c:smooth val="0"/>
          <c:extLst xmlns:c16r2="http://schemas.microsoft.com/office/drawing/2015/06/chart">
            <c:ext xmlns:c16="http://schemas.microsoft.com/office/drawing/2014/chart" uri="{C3380CC4-5D6E-409C-BE32-E72D297353CC}">
              <c16:uniqueId val="{00000002-750B-4E0A-BAB4-D8F62435DDD7}"/>
            </c:ext>
          </c:extLst>
        </c:ser>
        <c:dLbls>
          <c:showLegendKey val="0"/>
          <c:showVal val="0"/>
          <c:showCatName val="0"/>
          <c:showSerName val="0"/>
          <c:showPercent val="0"/>
          <c:showBubbleSize val="0"/>
        </c:dLbls>
        <c:marker val="1"/>
        <c:smooth val="0"/>
        <c:axId val="231103104"/>
        <c:axId val="231105280"/>
      </c:lineChart>
      <c:catAx>
        <c:axId val="23110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105280"/>
        <c:crosses val="autoZero"/>
        <c:auto val="1"/>
        <c:lblAlgn val="ctr"/>
        <c:lblOffset val="100"/>
        <c:noMultiLvlLbl val="0"/>
      </c:catAx>
      <c:valAx>
        <c:axId val="23110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10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27234928831752"/>
          <c:y val="0.30134048506164191"/>
          <c:w val="0.80346733198750087"/>
          <c:h val="0.61594012592857239"/>
        </c:manualLayout>
      </c:layout>
      <c:pie3DChart>
        <c:varyColors val="1"/>
        <c:ser>
          <c:idx val="0"/>
          <c:order val="0"/>
          <c:tx>
            <c:strRef>
              <c:f>Sheet1!$B$1</c:f>
              <c:strCache>
                <c:ptCount val="1"/>
                <c:pt idx="0">
                  <c:v>Без стручне спреме</c:v>
                </c:pt>
              </c:strCache>
            </c:strRef>
          </c:tx>
          <c:dPt>
            <c:idx val="0"/>
            <c:bubble3D val="0"/>
            <c:explosion val="3"/>
            <c:spPr>
              <a:solidFill>
                <a:schemeClr val="accent6">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039-43BE-875B-7D4DC968ECCC}"/>
              </c:ext>
            </c:extLst>
          </c:dPt>
          <c:dPt>
            <c:idx val="1"/>
            <c:bubble3D val="0"/>
            <c:spPr>
              <a:solidFill>
                <a:schemeClr val="accent6">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039-43BE-875B-7D4DC968ECC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77000"/>
                        </a:schemeClr>
                      </a:solidFill>
                      <a:latin typeface="+mn-lt"/>
                      <a:ea typeface="+mn-ea"/>
                      <a:cs typeface="+mn-cs"/>
                    </a:defRPr>
                  </a:pPr>
                  <a:endParaRPr lang="sr-Latn-R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76000"/>
                        </a:schemeClr>
                      </a:solidFill>
                      <a:latin typeface="+mn-lt"/>
                      <a:ea typeface="+mn-ea"/>
                      <a:cs typeface="+mn-cs"/>
                    </a:defRPr>
                  </a:pPr>
                  <a:endParaRPr lang="sr-Latn-R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Жене</c:v>
                </c:pt>
                <c:pt idx="1">
                  <c:v>Мушкарци</c:v>
                </c:pt>
              </c:strCache>
            </c:strRef>
          </c:cat>
          <c:val>
            <c:numRef>
              <c:f>Sheet1!$B$2:$B$3</c:f>
              <c:numCache>
                <c:formatCode>General</c:formatCode>
                <c:ptCount val="2"/>
                <c:pt idx="0">
                  <c:v>1451</c:v>
                </c:pt>
                <c:pt idx="1">
                  <c:v>278</c:v>
                </c:pt>
              </c:numCache>
            </c:numRef>
          </c:val>
          <c:extLst xmlns:c16r2="http://schemas.microsoft.com/office/drawing/2015/06/chart">
            <c:ext xmlns:c16="http://schemas.microsoft.com/office/drawing/2014/chart" uri="{C3380CC4-5D6E-409C-BE32-E72D297353CC}">
              <c16:uniqueId val="{00000004-2039-43BE-875B-7D4DC968ECC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17953934821182E-2"/>
          <c:y val="0.21892003499562551"/>
          <c:w val="0.76680934081501106"/>
          <c:h val="0.65548999708369782"/>
        </c:manualLayout>
      </c:layout>
      <c:pie3DChart>
        <c:varyColors val="1"/>
        <c:ser>
          <c:idx val="0"/>
          <c:order val="0"/>
          <c:tx>
            <c:strRef>
              <c:f>Sheet1!$B$1</c:f>
              <c:strCache>
                <c:ptCount val="1"/>
                <c:pt idx="0">
                  <c:v>Средња стручна спрема</c:v>
                </c:pt>
              </c:strCache>
            </c:strRef>
          </c:tx>
          <c:dPt>
            <c:idx val="0"/>
            <c:bubble3D val="0"/>
            <c:explosion val="3"/>
            <c:spPr>
              <a:solidFill>
                <a:schemeClr val="accent6">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303-42A7-A6DD-B2A184CB27F8}"/>
              </c:ext>
            </c:extLst>
          </c:dPt>
          <c:dPt>
            <c:idx val="1"/>
            <c:bubble3D val="0"/>
            <c:spPr>
              <a:solidFill>
                <a:schemeClr val="accent6">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303-42A7-A6DD-B2A184CB27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76000"/>
                        </a:schemeClr>
                      </a:solidFill>
                      <a:latin typeface="+mn-lt"/>
                      <a:ea typeface="+mn-ea"/>
                      <a:cs typeface="+mn-cs"/>
                    </a:defRPr>
                  </a:pPr>
                  <a:endParaRPr lang="sr-Latn-RS"/>
                </a:p>
              </c:txPr>
              <c:dLblPos val="outEnd"/>
              <c:showLegendKey val="0"/>
              <c:showVal val="0"/>
              <c:showCatName val="1"/>
              <c:showSerName val="0"/>
              <c:showPercent val="1"/>
              <c:showBubbleSize val="0"/>
            </c:dLbl>
            <c:dLbl>
              <c:idx val="1"/>
              <c:layout>
                <c:manualLayout>
                  <c:x val="6.9308074390666509E-3"/>
                  <c:y val="-7.909827961241842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77000"/>
                        </a:schemeClr>
                      </a:solidFill>
                      <a:latin typeface="+mn-lt"/>
                      <a:ea typeface="+mn-ea"/>
                      <a:cs typeface="+mn-cs"/>
                    </a:defRPr>
                  </a:pPr>
                  <a:endParaRPr lang="sr-Latn-R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303-42A7-A6DD-B2A184CB27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Жене</c:v>
                </c:pt>
                <c:pt idx="1">
                  <c:v>Мушкарци</c:v>
                </c:pt>
              </c:strCache>
            </c:strRef>
          </c:cat>
          <c:val>
            <c:numRef>
              <c:f>Sheet1!$B$2:$B$3</c:f>
              <c:numCache>
                <c:formatCode>General</c:formatCode>
                <c:ptCount val="2"/>
                <c:pt idx="0">
                  <c:v>2066</c:v>
                </c:pt>
                <c:pt idx="1">
                  <c:v>2576</c:v>
                </c:pt>
              </c:numCache>
            </c:numRef>
          </c:val>
          <c:extLst xmlns:c16r2="http://schemas.microsoft.com/office/drawing/2015/06/chart">
            <c:ext xmlns:c16="http://schemas.microsoft.com/office/drawing/2014/chart" uri="{C3380CC4-5D6E-409C-BE32-E72D297353CC}">
              <c16:uniqueId val="{00000004-8303-42A7-A6DD-B2A184CB27F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sr-Cyrl-RS" sz="1400" cap="none">
                <a:solidFill>
                  <a:sysClr val="windowText" lastClr="000000"/>
                </a:solidFill>
                <a:latin typeface="Times New Roman" panose="02020603050405020304" pitchFamily="18" charset="0"/>
                <a:cs typeface="Times New Roman" panose="02020603050405020304" pitchFamily="18" charset="0"/>
              </a:rPr>
              <a:t>Управљачка структура ЛАГ Јастребчанка</a:t>
            </a:r>
            <a:endParaRPr lang="en-US" sz="140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explosion val="7"/>
            <c:spPr>
              <a:solidFill>
                <a:schemeClr val="bg1">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C3AA-4748-9E79-FB07E944E4B3}"/>
              </c:ext>
            </c:extLst>
          </c:dPt>
          <c:dPt>
            <c:idx val="1"/>
            <c:bubble3D val="0"/>
            <c:explosion val="9"/>
            <c:spPr>
              <a:solidFill>
                <a:srgbClr val="0070C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C3AA-4748-9E79-FB07E944E4B3}"/>
              </c:ext>
            </c:extLst>
          </c:dPt>
          <c:dPt>
            <c:idx val="2"/>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C3AA-4748-9E79-FB07E944E4B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C3AA-4748-9E79-FB07E944E4B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FFC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Јавни сектор</c:v>
                </c:pt>
                <c:pt idx="1">
                  <c:v>Цивилни сектор</c:v>
                </c:pt>
                <c:pt idx="2">
                  <c:v>Приватни сектор</c:v>
                </c:pt>
              </c:strCache>
            </c:strRef>
          </c:cat>
          <c:val>
            <c:numRef>
              <c:f>Sheet1!$B$2:$B$5</c:f>
              <c:numCache>
                <c:formatCode>General</c:formatCode>
                <c:ptCount val="4"/>
                <c:pt idx="0">
                  <c:v>20</c:v>
                </c:pt>
                <c:pt idx="1">
                  <c:v>40</c:v>
                </c:pt>
                <c:pt idx="2">
                  <c:v>40</c:v>
                </c:pt>
              </c:numCache>
            </c:numRef>
          </c:val>
          <c:extLst xmlns:c16r2="http://schemas.microsoft.com/office/drawing/2015/06/chart">
            <c:ext xmlns:c16="http://schemas.microsoft.com/office/drawing/2014/chart" uri="{C3380CC4-5D6E-409C-BE32-E72D297353CC}">
              <c16:uniqueId val="{00000000-C3AA-4748-9E79-FB07E944E4B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sr-Latn-RS" sz="1400" cap="none">
                <a:solidFill>
                  <a:sysClr val="windowText" lastClr="000000"/>
                </a:solidFill>
                <a:latin typeface="Times New Roman" panose="02020603050405020304" pitchFamily="18" charset="0"/>
                <a:cs typeface="Times New Roman" panose="02020603050405020304" pitchFamily="18" charset="0"/>
              </a:rPr>
              <a:t>Структура чланства у УО ЛАГ </a:t>
            </a:r>
            <a:r>
              <a:rPr lang="sr-Cyrl-RS" sz="1400" cap="none">
                <a:solidFill>
                  <a:sysClr val="windowText" lastClr="000000"/>
                </a:solidFill>
                <a:latin typeface="Times New Roman" panose="02020603050405020304" pitchFamily="18" charset="0"/>
                <a:cs typeface="Times New Roman" panose="02020603050405020304" pitchFamily="18" charset="0"/>
              </a:rPr>
              <a:t>Јастребчанка</a:t>
            </a:r>
            <a:endParaRPr lang="en-US" sz="140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19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08F8-4081-8596-F14F3085FA7A}"/>
              </c:ext>
            </c:extLst>
          </c:dPt>
          <c:dPt>
            <c:idx val="1"/>
            <c:bubble3D val="0"/>
            <c:explosion val="8"/>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08F8-4081-8596-F14F3085FA7A}"/>
              </c:ext>
            </c:extLst>
          </c:dPt>
          <c:dPt>
            <c:idx val="2"/>
            <c:bubble3D val="0"/>
            <c:explosion val="7"/>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08F8-4081-8596-F14F3085FA7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08F8-4081-8596-F14F3085FA7A}"/>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FFC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Цивилни сектор</c:v>
                </c:pt>
                <c:pt idx="1">
                  <c:v>Јавни сектор</c:v>
                </c:pt>
                <c:pt idx="2">
                  <c:v>Приватни сектор</c:v>
                </c:pt>
              </c:strCache>
            </c:strRef>
          </c:cat>
          <c:val>
            <c:numRef>
              <c:f>Sheet1!$B$2:$B$5</c:f>
              <c:numCache>
                <c:formatCode>General</c:formatCode>
                <c:ptCount val="4"/>
                <c:pt idx="0">
                  <c:v>50</c:v>
                </c:pt>
                <c:pt idx="1">
                  <c:v>22</c:v>
                </c:pt>
                <c:pt idx="2">
                  <c:v>28</c:v>
                </c:pt>
              </c:numCache>
            </c:numRef>
          </c:val>
          <c:extLst xmlns:c16r2="http://schemas.microsoft.com/office/drawing/2015/06/chart">
            <c:ext xmlns:c16="http://schemas.microsoft.com/office/drawing/2014/chart" uri="{C3380CC4-5D6E-409C-BE32-E72D297353CC}">
              <c16:uniqueId val="{00000000-08F8-4081-8596-F14F3085FA7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Sheet1!$A$2:$A$4</c:f>
              <c:strCache>
                <c:ptCount val="3"/>
                <c:pt idx="0">
                  <c:v>Република Србија</c:v>
                </c:pt>
                <c:pt idx="1">
                  <c:v>Прокупље</c:v>
                </c:pt>
                <c:pt idx="2">
                  <c:v>Блаце</c:v>
                </c:pt>
              </c:strCache>
            </c:strRef>
          </c:cat>
          <c:val>
            <c:numRef>
              <c:f>Sheet1!$B$2:$B$4</c:f>
              <c:numCache>
                <c:formatCode>General</c:formatCode>
                <c:ptCount val="3"/>
                <c:pt idx="0">
                  <c:v>-5.3</c:v>
                </c:pt>
                <c:pt idx="1">
                  <c:v>-8.8000000000000007</c:v>
                </c:pt>
                <c:pt idx="2">
                  <c:v>-14.3</c:v>
                </c:pt>
              </c:numCache>
            </c:numRef>
          </c:val>
          <c:extLst xmlns:c16r2="http://schemas.microsoft.com/office/drawing/2015/06/chart">
            <c:ext xmlns:c16="http://schemas.microsoft.com/office/drawing/2014/chart" uri="{C3380CC4-5D6E-409C-BE32-E72D297353CC}">
              <c16:uniqueId val="{00000000-D48D-45C6-91A7-83F7E6C258DD}"/>
            </c:ext>
          </c:extLst>
        </c:ser>
        <c:ser>
          <c:idx val="1"/>
          <c:order val="1"/>
          <c:tx>
            <c:strRef>
              <c:f>Sheet1!$C$1</c:f>
              <c:strCache>
                <c:ptCount val="1"/>
                <c:pt idx="0">
                  <c:v>2012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Sheet1!$A$2:$A$4</c:f>
              <c:strCache>
                <c:ptCount val="3"/>
                <c:pt idx="0">
                  <c:v>Република Србија</c:v>
                </c:pt>
                <c:pt idx="1">
                  <c:v>Прокупље</c:v>
                </c:pt>
                <c:pt idx="2">
                  <c:v>Блаце</c:v>
                </c:pt>
              </c:strCache>
            </c:strRef>
          </c:cat>
          <c:val>
            <c:numRef>
              <c:f>Sheet1!$C$2:$C$4</c:f>
              <c:numCache>
                <c:formatCode>General</c:formatCode>
                <c:ptCount val="3"/>
                <c:pt idx="0">
                  <c:v>-5.4</c:v>
                </c:pt>
                <c:pt idx="1">
                  <c:v>-7.7</c:v>
                </c:pt>
                <c:pt idx="2">
                  <c:v>-17.100000000000001</c:v>
                </c:pt>
              </c:numCache>
            </c:numRef>
          </c:val>
          <c:extLst xmlns:c16r2="http://schemas.microsoft.com/office/drawing/2015/06/chart">
            <c:ext xmlns:c16="http://schemas.microsoft.com/office/drawing/2014/chart" uri="{C3380CC4-5D6E-409C-BE32-E72D297353CC}">
              <c16:uniqueId val="{00000001-D48D-45C6-91A7-83F7E6C258DD}"/>
            </c:ext>
          </c:extLst>
        </c:ser>
        <c:ser>
          <c:idx val="2"/>
          <c:order val="2"/>
          <c:tx>
            <c:strRef>
              <c:f>Sheet1!$D$1</c:f>
              <c:strCache>
                <c:ptCount val="1"/>
                <c:pt idx="0">
                  <c:v>2013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Sheet1!$A$2:$A$4</c:f>
              <c:strCache>
                <c:ptCount val="3"/>
                <c:pt idx="0">
                  <c:v>Република Србија</c:v>
                </c:pt>
                <c:pt idx="1">
                  <c:v>Прокупље</c:v>
                </c:pt>
                <c:pt idx="2">
                  <c:v>Блаце</c:v>
                </c:pt>
              </c:strCache>
            </c:strRef>
          </c:cat>
          <c:val>
            <c:numRef>
              <c:f>Sheet1!$D$2:$D$4</c:f>
              <c:numCache>
                <c:formatCode>General</c:formatCode>
                <c:ptCount val="3"/>
                <c:pt idx="0">
                  <c:v>-5.5</c:v>
                </c:pt>
                <c:pt idx="1">
                  <c:v>-6.3</c:v>
                </c:pt>
                <c:pt idx="2">
                  <c:v>-13.5</c:v>
                </c:pt>
              </c:numCache>
            </c:numRef>
          </c:val>
          <c:extLst xmlns:c16r2="http://schemas.microsoft.com/office/drawing/2015/06/chart">
            <c:ext xmlns:c16="http://schemas.microsoft.com/office/drawing/2014/chart" uri="{C3380CC4-5D6E-409C-BE32-E72D297353CC}">
              <c16:uniqueId val="{00000002-D48D-45C6-91A7-83F7E6C258DD}"/>
            </c:ext>
          </c:extLst>
        </c:ser>
        <c:ser>
          <c:idx val="3"/>
          <c:order val="3"/>
          <c:tx>
            <c:strRef>
              <c:f>Sheet1!$E$1</c:f>
              <c:strCache>
                <c:ptCount val="1"/>
                <c:pt idx="0">
                  <c:v>2014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Sheet1!$A$2:$A$4</c:f>
              <c:strCache>
                <c:ptCount val="3"/>
                <c:pt idx="0">
                  <c:v>Република Србија</c:v>
                </c:pt>
                <c:pt idx="1">
                  <c:v>Прокупље</c:v>
                </c:pt>
                <c:pt idx="2">
                  <c:v>Блаце</c:v>
                </c:pt>
              </c:strCache>
            </c:strRef>
          </c:cat>
          <c:val>
            <c:numRef>
              <c:f>Sheet1!$E$2:$E$4</c:f>
              <c:numCache>
                <c:formatCode>General</c:formatCode>
                <c:ptCount val="3"/>
                <c:pt idx="0">
                  <c:v>-5.0999999999999996</c:v>
                </c:pt>
                <c:pt idx="1">
                  <c:v>-7.2</c:v>
                </c:pt>
                <c:pt idx="2">
                  <c:v>-12.5</c:v>
                </c:pt>
              </c:numCache>
            </c:numRef>
          </c:val>
          <c:extLst xmlns:c16r2="http://schemas.microsoft.com/office/drawing/2015/06/chart">
            <c:ext xmlns:c16="http://schemas.microsoft.com/office/drawing/2014/chart" uri="{C3380CC4-5D6E-409C-BE32-E72D297353CC}">
              <c16:uniqueId val="{00000003-D48D-45C6-91A7-83F7E6C258DD}"/>
            </c:ext>
          </c:extLst>
        </c:ser>
        <c:ser>
          <c:idx val="4"/>
          <c:order val="4"/>
          <c:tx>
            <c:strRef>
              <c:f>Sheet1!$F$1</c:f>
              <c:strCache>
                <c:ptCount val="1"/>
                <c:pt idx="0">
                  <c:v>2015</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Sheet1!$A$2:$A$4</c:f>
              <c:strCache>
                <c:ptCount val="3"/>
                <c:pt idx="0">
                  <c:v>Република Србија</c:v>
                </c:pt>
                <c:pt idx="1">
                  <c:v>Прокупље</c:v>
                </c:pt>
                <c:pt idx="2">
                  <c:v>Блаце</c:v>
                </c:pt>
              </c:strCache>
            </c:strRef>
          </c:cat>
          <c:val>
            <c:numRef>
              <c:f>Sheet1!$F$2:$F$4</c:f>
              <c:numCache>
                <c:formatCode>General</c:formatCode>
                <c:ptCount val="3"/>
                <c:pt idx="0">
                  <c:v>-5.32</c:v>
                </c:pt>
                <c:pt idx="1">
                  <c:v>-7.9</c:v>
                </c:pt>
                <c:pt idx="2">
                  <c:v>-15.5</c:v>
                </c:pt>
              </c:numCache>
            </c:numRef>
          </c:val>
          <c:extLst xmlns:c16r2="http://schemas.microsoft.com/office/drawing/2015/06/chart">
            <c:ext xmlns:c16="http://schemas.microsoft.com/office/drawing/2014/chart" uri="{C3380CC4-5D6E-409C-BE32-E72D297353CC}">
              <c16:uniqueId val="{00000004-D48D-45C6-91A7-83F7E6C258DD}"/>
            </c:ext>
          </c:extLst>
        </c:ser>
        <c:ser>
          <c:idx val="5"/>
          <c:order val="5"/>
          <c:tx>
            <c:strRef>
              <c:f>Sheet1!$G$1</c:f>
              <c:strCache>
                <c:ptCount val="1"/>
                <c:pt idx="0">
                  <c:v>2016</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Sheet1!$A$2:$A$4</c:f>
              <c:strCache>
                <c:ptCount val="3"/>
                <c:pt idx="0">
                  <c:v>Република Србија</c:v>
                </c:pt>
                <c:pt idx="1">
                  <c:v>Прокупље</c:v>
                </c:pt>
                <c:pt idx="2">
                  <c:v>Блаце</c:v>
                </c:pt>
              </c:strCache>
            </c:strRef>
          </c:cat>
          <c:val>
            <c:numRef>
              <c:f>Sheet1!$G$2:$G$4</c:f>
              <c:numCache>
                <c:formatCode>General</c:formatCode>
                <c:ptCount val="3"/>
                <c:pt idx="0">
                  <c:v>-4.9000000000000004</c:v>
                </c:pt>
                <c:pt idx="1">
                  <c:v>-6.7</c:v>
                </c:pt>
                <c:pt idx="2">
                  <c:v>-14.6</c:v>
                </c:pt>
              </c:numCache>
            </c:numRef>
          </c:val>
          <c:extLst xmlns:c16r2="http://schemas.microsoft.com/office/drawing/2015/06/chart">
            <c:ext xmlns:c16="http://schemas.microsoft.com/office/drawing/2014/chart" uri="{C3380CC4-5D6E-409C-BE32-E72D297353CC}">
              <c16:uniqueId val="{00000005-D48D-45C6-91A7-83F7E6C258DD}"/>
            </c:ext>
          </c:extLst>
        </c:ser>
        <c:ser>
          <c:idx val="6"/>
          <c:order val="6"/>
          <c:tx>
            <c:strRef>
              <c:f>Sheet1!$H$1</c:f>
              <c:strCache>
                <c:ptCount val="1"/>
                <c:pt idx="0">
                  <c:v>2017</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cat>
            <c:strRef>
              <c:f>Sheet1!$A$2:$A$4</c:f>
              <c:strCache>
                <c:ptCount val="3"/>
                <c:pt idx="0">
                  <c:v>Република Србија</c:v>
                </c:pt>
                <c:pt idx="1">
                  <c:v>Прокупље</c:v>
                </c:pt>
                <c:pt idx="2">
                  <c:v>Блаце</c:v>
                </c:pt>
              </c:strCache>
            </c:strRef>
          </c:cat>
          <c:val>
            <c:numRef>
              <c:f>Sheet1!$H$2:$H$4</c:f>
              <c:numCache>
                <c:formatCode>General</c:formatCode>
                <c:ptCount val="3"/>
                <c:pt idx="0">
                  <c:v>-4.8</c:v>
                </c:pt>
                <c:pt idx="1">
                  <c:v>-6</c:v>
                </c:pt>
                <c:pt idx="2">
                  <c:v>-14.1</c:v>
                </c:pt>
              </c:numCache>
            </c:numRef>
          </c:val>
          <c:extLst xmlns:c16r2="http://schemas.microsoft.com/office/drawing/2015/06/chart">
            <c:ext xmlns:c16="http://schemas.microsoft.com/office/drawing/2014/chart" uri="{C3380CC4-5D6E-409C-BE32-E72D297353CC}">
              <c16:uniqueId val="{00000006-D48D-45C6-91A7-83F7E6C258DD}"/>
            </c:ext>
          </c:extLst>
        </c:ser>
        <c:ser>
          <c:idx val="7"/>
          <c:order val="7"/>
          <c:tx>
            <c:strRef>
              <c:f>Sheet1!$I$1</c:f>
              <c:strCache>
                <c:ptCount val="1"/>
                <c:pt idx="0">
                  <c:v>2018</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strRef>
              <c:f>Sheet1!$A$2:$A$4</c:f>
              <c:strCache>
                <c:ptCount val="3"/>
                <c:pt idx="0">
                  <c:v>Република Србија</c:v>
                </c:pt>
                <c:pt idx="1">
                  <c:v>Прокупље</c:v>
                </c:pt>
                <c:pt idx="2">
                  <c:v>Блаце</c:v>
                </c:pt>
              </c:strCache>
            </c:strRef>
          </c:cat>
          <c:val>
            <c:numRef>
              <c:f>Sheet1!$I$2:$I$4</c:f>
              <c:numCache>
                <c:formatCode>General</c:formatCode>
                <c:ptCount val="3"/>
                <c:pt idx="0">
                  <c:v>-4.93</c:v>
                </c:pt>
                <c:pt idx="1">
                  <c:v>-6.4</c:v>
                </c:pt>
                <c:pt idx="2">
                  <c:v>-10.7</c:v>
                </c:pt>
              </c:numCache>
            </c:numRef>
          </c:val>
          <c:extLst xmlns:c16r2="http://schemas.microsoft.com/office/drawing/2015/06/chart">
            <c:ext xmlns:c16="http://schemas.microsoft.com/office/drawing/2014/chart" uri="{C3380CC4-5D6E-409C-BE32-E72D297353CC}">
              <c16:uniqueId val="{00000007-D48D-45C6-91A7-83F7E6C258DD}"/>
            </c:ext>
          </c:extLst>
        </c:ser>
        <c:ser>
          <c:idx val="8"/>
          <c:order val="8"/>
          <c:tx>
            <c:strRef>
              <c:f>Sheet1!$J$1</c:f>
              <c:strCache>
                <c:ptCount val="1"/>
                <c:pt idx="0">
                  <c:v>2019</c:v>
                </c:pt>
              </c:strCache>
            </c:strRef>
          </c:tx>
          <c:spPr>
            <a:pattFill prst="narHorz">
              <a:fgClr>
                <a:schemeClr val="accent3">
                  <a:lumMod val="60000"/>
                </a:schemeClr>
              </a:fgClr>
              <a:bgClr>
                <a:schemeClr val="accent3">
                  <a:lumMod val="60000"/>
                  <a:lumMod val="20000"/>
                  <a:lumOff val="80000"/>
                </a:schemeClr>
              </a:bgClr>
            </a:pattFill>
            <a:ln>
              <a:noFill/>
            </a:ln>
            <a:effectLst>
              <a:innerShdw blurRad="114300">
                <a:schemeClr val="accent3">
                  <a:lumMod val="60000"/>
                </a:schemeClr>
              </a:innerShdw>
            </a:effectLst>
          </c:spPr>
          <c:invertIfNegative val="0"/>
          <c:cat>
            <c:strRef>
              <c:f>Sheet1!$A$2:$A$4</c:f>
              <c:strCache>
                <c:ptCount val="3"/>
                <c:pt idx="0">
                  <c:v>Република Србија</c:v>
                </c:pt>
                <c:pt idx="1">
                  <c:v>Прокупље</c:v>
                </c:pt>
                <c:pt idx="2">
                  <c:v>Блаце</c:v>
                </c:pt>
              </c:strCache>
            </c:strRef>
          </c:cat>
          <c:val>
            <c:numRef>
              <c:f>Sheet1!$J$2:$J$4</c:f>
              <c:numCache>
                <c:formatCode>General</c:formatCode>
                <c:ptCount val="3"/>
                <c:pt idx="0">
                  <c:v>-5.2</c:v>
                </c:pt>
                <c:pt idx="1">
                  <c:v>-7.3</c:v>
                </c:pt>
                <c:pt idx="2">
                  <c:v>-12.5</c:v>
                </c:pt>
              </c:numCache>
            </c:numRef>
          </c:val>
          <c:extLst xmlns:c16r2="http://schemas.microsoft.com/office/drawing/2015/06/chart">
            <c:ext xmlns:c16="http://schemas.microsoft.com/office/drawing/2014/chart" uri="{C3380CC4-5D6E-409C-BE32-E72D297353CC}">
              <c16:uniqueId val="{00000008-D48D-45C6-91A7-83F7E6C258DD}"/>
            </c:ext>
          </c:extLst>
        </c:ser>
        <c:dLbls>
          <c:showLegendKey val="0"/>
          <c:showVal val="0"/>
          <c:showCatName val="0"/>
          <c:showSerName val="0"/>
          <c:showPercent val="0"/>
          <c:showBubbleSize val="0"/>
        </c:dLbls>
        <c:gapWidth val="164"/>
        <c:overlap val="-22"/>
        <c:axId val="231889152"/>
        <c:axId val="231895040"/>
      </c:barChart>
      <c:catAx>
        <c:axId val="2318891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r-Latn-RS"/>
          </a:p>
        </c:txPr>
        <c:crossAx val="231895040"/>
        <c:crosses val="autoZero"/>
        <c:auto val="1"/>
        <c:lblAlgn val="ctr"/>
        <c:lblOffset val="100"/>
        <c:noMultiLvlLbl val="0"/>
      </c:catAx>
      <c:valAx>
        <c:axId val="231895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889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sr-Cyrl-RS" sz="1200">
                <a:solidFill>
                  <a:sysClr val="windowText" lastClr="000000"/>
                </a:solidFill>
                <a:latin typeface="Times New Roman" panose="02020603050405020304" pitchFamily="18" charset="0"/>
                <a:cs typeface="Times New Roman" panose="02020603050405020304" pitchFamily="18" charset="0"/>
              </a:rPr>
              <a:t>Прокупље</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Досељени</c:v>
                </c:pt>
              </c:strCache>
            </c:strRef>
          </c:tx>
          <c:spPr>
            <a:solidFill>
              <a:schemeClr val="accent1"/>
            </a:solidFill>
            <a:ln>
              <a:noFill/>
            </a:ln>
            <a:effectLst/>
          </c:spPr>
          <c:invertIfNegative val="0"/>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Sheet1!$B$2:$B$10</c:f>
              <c:numCache>
                <c:formatCode>General</c:formatCode>
                <c:ptCount val="9"/>
                <c:pt idx="0">
                  <c:v>669</c:v>
                </c:pt>
                <c:pt idx="1">
                  <c:v>567</c:v>
                </c:pt>
                <c:pt idx="2">
                  <c:v>612</c:v>
                </c:pt>
                <c:pt idx="3">
                  <c:v>600</c:v>
                </c:pt>
                <c:pt idx="4">
                  <c:v>644</c:v>
                </c:pt>
                <c:pt idx="5">
                  <c:v>552</c:v>
                </c:pt>
                <c:pt idx="6">
                  <c:v>598</c:v>
                </c:pt>
                <c:pt idx="7">
                  <c:v>524</c:v>
                </c:pt>
                <c:pt idx="8">
                  <c:v>524</c:v>
                </c:pt>
              </c:numCache>
            </c:numRef>
          </c:val>
          <c:extLst xmlns:c16r2="http://schemas.microsoft.com/office/drawing/2015/06/chart">
            <c:ext xmlns:c16="http://schemas.microsoft.com/office/drawing/2014/chart" uri="{C3380CC4-5D6E-409C-BE32-E72D297353CC}">
              <c16:uniqueId val="{00000000-3B56-4EDB-80E0-C7CA281DD45D}"/>
            </c:ext>
          </c:extLst>
        </c:ser>
        <c:ser>
          <c:idx val="1"/>
          <c:order val="1"/>
          <c:tx>
            <c:strRef>
              <c:f>Sheet1!$C$1</c:f>
              <c:strCache>
                <c:ptCount val="1"/>
                <c:pt idx="0">
                  <c:v>Одсељени</c:v>
                </c:pt>
              </c:strCache>
            </c:strRef>
          </c:tx>
          <c:spPr>
            <a:solidFill>
              <a:schemeClr val="accent2"/>
            </a:solidFill>
            <a:ln>
              <a:noFill/>
            </a:ln>
            <a:effectLst/>
          </c:spPr>
          <c:invertIfNegative val="0"/>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Sheet1!$C$2:$C$10</c:f>
              <c:numCache>
                <c:formatCode>General</c:formatCode>
                <c:ptCount val="9"/>
                <c:pt idx="0">
                  <c:v>802</c:v>
                </c:pt>
                <c:pt idx="1">
                  <c:v>727</c:v>
                </c:pt>
                <c:pt idx="2">
                  <c:v>787</c:v>
                </c:pt>
                <c:pt idx="3">
                  <c:v>822</c:v>
                </c:pt>
                <c:pt idx="4">
                  <c:v>786</c:v>
                </c:pt>
                <c:pt idx="5">
                  <c:v>686</c:v>
                </c:pt>
                <c:pt idx="6">
                  <c:v>766</c:v>
                </c:pt>
                <c:pt idx="7">
                  <c:v>712</c:v>
                </c:pt>
                <c:pt idx="8">
                  <c:v>717</c:v>
                </c:pt>
              </c:numCache>
            </c:numRef>
          </c:val>
          <c:extLst xmlns:c16r2="http://schemas.microsoft.com/office/drawing/2015/06/chart">
            <c:ext xmlns:c16="http://schemas.microsoft.com/office/drawing/2014/chart" uri="{C3380CC4-5D6E-409C-BE32-E72D297353CC}">
              <c16:uniqueId val="{00000001-3B56-4EDB-80E0-C7CA281DD45D}"/>
            </c:ext>
          </c:extLst>
        </c:ser>
        <c:dLbls>
          <c:showLegendKey val="0"/>
          <c:showVal val="0"/>
          <c:showCatName val="0"/>
          <c:showSerName val="0"/>
          <c:showPercent val="0"/>
          <c:showBubbleSize val="0"/>
        </c:dLbls>
        <c:gapWidth val="247"/>
        <c:overlap val="-27"/>
        <c:axId val="231923072"/>
        <c:axId val="231924864"/>
      </c:barChart>
      <c:lineChart>
        <c:grouping val="standard"/>
        <c:varyColors val="0"/>
        <c:ser>
          <c:idx val="2"/>
          <c:order val="2"/>
          <c:tx>
            <c:strRef>
              <c:f>Sheet1!$D$1</c:f>
              <c:strCache>
                <c:ptCount val="1"/>
                <c:pt idx="0">
                  <c:v>Миграциони салдо</c:v>
                </c:pt>
              </c:strCache>
            </c:strRef>
          </c:tx>
          <c:spPr>
            <a:ln w="22225" cap="rnd">
              <a:solidFill>
                <a:schemeClr val="accent3"/>
              </a:solidFill>
              <a:round/>
            </a:ln>
            <a:effectLst/>
          </c:spPr>
          <c:marker>
            <c:symbol val="none"/>
          </c:marker>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Sheet1!$D$2:$D$10</c:f>
              <c:numCache>
                <c:formatCode>General</c:formatCode>
                <c:ptCount val="9"/>
                <c:pt idx="0">
                  <c:v>-133</c:v>
                </c:pt>
                <c:pt idx="1">
                  <c:v>-160</c:v>
                </c:pt>
                <c:pt idx="2">
                  <c:v>-175</c:v>
                </c:pt>
                <c:pt idx="3">
                  <c:v>-222</c:v>
                </c:pt>
                <c:pt idx="4">
                  <c:v>-142</c:v>
                </c:pt>
                <c:pt idx="5">
                  <c:v>-134</c:v>
                </c:pt>
                <c:pt idx="6">
                  <c:v>-168</c:v>
                </c:pt>
                <c:pt idx="7">
                  <c:v>-188</c:v>
                </c:pt>
                <c:pt idx="8">
                  <c:v>-193</c:v>
                </c:pt>
              </c:numCache>
            </c:numRef>
          </c:val>
          <c:smooth val="0"/>
          <c:extLst xmlns:c16r2="http://schemas.microsoft.com/office/drawing/2015/06/chart">
            <c:ext xmlns:c16="http://schemas.microsoft.com/office/drawing/2014/chart" uri="{C3380CC4-5D6E-409C-BE32-E72D297353CC}">
              <c16:uniqueId val="{00000002-3B56-4EDB-80E0-C7CA281DD45D}"/>
            </c:ext>
          </c:extLst>
        </c:ser>
        <c:dLbls>
          <c:showLegendKey val="0"/>
          <c:showVal val="0"/>
          <c:showCatName val="0"/>
          <c:showSerName val="0"/>
          <c:showPercent val="0"/>
          <c:showBubbleSize val="0"/>
        </c:dLbls>
        <c:marker val="1"/>
        <c:smooth val="0"/>
        <c:axId val="231928192"/>
        <c:axId val="231926400"/>
      </c:lineChart>
      <c:catAx>
        <c:axId val="2319230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sr-Latn-RS"/>
          </a:p>
        </c:txPr>
        <c:crossAx val="231924864"/>
        <c:crosses val="autoZero"/>
        <c:auto val="1"/>
        <c:lblAlgn val="ctr"/>
        <c:lblOffset val="100"/>
        <c:noMultiLvlLbl val="0"/>
      </c:catAx>
      <c:valAx>
        <c:axId val="2319248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923072"/>
        <c:crosses val="autoZero"/>
        <c:crossBetween val="between"/>
      </c:valAx>
      <c:valAx>
        <c:axId val="23192640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928192"/>
        <c:crosses val="max"/>
        <c:crossBetween val="between"/>
      </c:valAx>
      <c:catAx>
        <c:axId val="231928192"/>
        <c:scaling>
          <c:orientation val="minMax"/>
        </c:scaling>
        <c:delete val="1"/>
        <c:axPos val="b"/>
        <c:numFmt formatCode="General" sourceLinked="1"/>
        <c:majorTickMark val="out"/>
        <c:minorTickMark val="none"/>
        <c:tickLblPos val="nextTo"/>
        <c:crossAx val="231926400"/>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solidFill>
      <a:schemeClr val="lt1"/>
    </a:solidFill>
    <a:ln w="9525" cap="flat" cmpd="sng" algn="ctr">
      <a:no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Блаце</a:t>
            </a:r>
            <a:endParaRPr lang="en-US"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Досељени</c:v>
                </c:pt>
              </c:strCache>
            </c:strRef>
          </c:tx>
          <c:spPr>
            <a:solidFill>
              <a:schemeClr val="accent1"/>
            </a:solidFill>
            <a:ln>
              <a:noFill/>
            </a:ln>
            <a:effectLst/>
          </c:spPr>
          <c:invertIfNegative val="0"/>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Sheet1!$B$2:$B$10</c:f>
              <c:numCache>
                <c:formatCode>General</c:formatCode>
                <c:ptCount val="9"/>
                <c:pt idx="0">
                  <c:v>149</c:v>
                </c:pt>
                <c:pt idx="1">
                  <c:v>146</c:v>
                </c:pt>
                <c:pt idx="2">
                  <c:v>156</c:v>
                </c:pt>
                <c:pt idx="3">
                  <c:v>165</c:v>
                </c:pt>
                <c:pt idx="4">
                  <c:v>129</c:v>
                </c:pt>
                <c:pt idx="5">
                  <c:v>154</c:v>
                </c:pt>
                <c:pt idx="6">
                  <c:v>180</c:v>
                </c:pt>
                <c:pt idx="7">
                  <c:v>186</c:v>
                </c:pt>
                <c:pt idx="8">
                  <c:v>125</c:v>
                </c:pt>
              </c:numCache>
            </c:numRef>
          </c:val>
          <c:extLst xmlns:c16r2="http://schemas.microsoft.com/office/drawing/2015/06/chart">
            <c:ext xmlns:c16="http://schemas.microsoft.com/office/drawing/2014/chart" uri="{C3380CC4-5D6E-409C-BE32-E72D297353CC}">
              <c16:uniqueId val="{00000000-FE20-4F12-9B74-F357B8EBE2E2}"/>
            </c:ext>
          </c:extLst>
        </c:ser>
        <c:ser>
          <c:idx val="1"/>
          <c:order val="1"/>
          <c:tx>
            <c:strRef>
              <c:f>Sheet1!$C$1</c:f>
              <c:strCache>
                <c:ptCount val="1"/>
                <c:pt idx="0">
                  <c:v>Одсељени</c:v>
                </c:pt>
              </c:strCache>
            </c:strRef>
          </c:tx>
          <c:spPr>
            <a:solidFill>
              <a:schemeClr val="accent2"/>
            </a:solidFill>
            <a:ln>
              <a:noFill/>
            </a:ln>
            <a:effectLst/>
          </c:spPr>
          <c:invertIfNegative val="0"/>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Sheet1!$C$2:$C$10</c:f>
              <c:numCache>
                <c:formatCode>General</c:formatCode>
                <c:ptCount val="9"/>
                <c:pt idx="0">
                  <c:v>175</c:v>
                </c:pt>
                <c:pt idx="1">
                  <c:v>162</c:v>
                </c:pt>
                <c:pt idx="2">
                  <c:v>163</c:v>
                </c:pt>
                <c:pt idx="3">
                  <c:v>179</c:v>
                </c:pt>
                <c:pt idx="4">
                  <c:v>158</c:v>
                </c:pt>
                <c:pt idx="5">
                  <c:v>202</c:v>
                </c:pt>
                <c:pt idx="6">
                  <c:v>187</c:v>
                </c:pt>
                <c:pt idx="7">
                  <c:v>199</c:v>
                </c:pt>
                <c:pt idx="8">
                  <c:v>211</c:v>
                </c:pt>
              </c:numCache>
            </c:numRef>
          </c:val>
          <c:extLst xmlns:c16r2="http://schemas.microsoft.com/office/drawing/2015/06/chart">
            <c:ext xmlns:c16="http://schemas.microsoft.com/office/drawing/2014/chart" uri="{C3380CC4-5D6E-409C-BE32-E72D297353CC}">
              <c16:uniqueId val="{00000001-FE20-4F12-9B74-F357B8EBE2E2}"/>
            </c:ext>
          </c:extLst>
        </c:ser>
        <c:dLbls>
          <c:showLegendKey val="0"/>
          <c:showVal val="0"/>
          <c:showCatName val="0"/>
          <c:showSerName val="0"/>
          <c:showPercent val="0"/>
          <c:showBubbleSize val="0"/>
        </c:dLbls>
        <c:gapWidth val="247"/>
        <c:overlap val="-27"/>
        <c:axId val="231068032"/>
        <c:axId val="231069568"/>
      </c:barChart>
      <c:lineChart>
        <c:grouping val="standard"/>
        <c:varyColors val="0"/>
        <c:ser>
          <c:idx val="2"/>
          <c:order val="2"/>
          <c:tx>
            <c:strRef>
              <c:f>Sheet1!$D$1</c:f>
              <c:strCache>
                <c:ptCount val="1"/>
                <c:pt idx="0">
                  <c:v>Миграциони салдо</c:v>
                </c:pt>
              </c:strCache>
            </c:strRef>
          </c:tx>
          <c:spPr>
            <a:ln w="22225" cap="rnd">
              <a:solidFill>
                <a:schemeClr val="accent3"/>
              </a:solidFill>
              <a:round/>
            </a:ln>
            <a:effectLst/>
          </c:spPr>
          <c:marker>
            <c:symbol val="none"/>
          </c:marker>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Sheet1!$D$2:$D$10</c:f>
              <c:numCache>
                <c:formatCode>General</c:formatCode>
                <c:ptCount val="9"/>
                <c:pt idx="0">
                  <c:v>-26</c:v>
                </c:pt>
                <c:pt idx="1">
                  <c:v>-16</c:v>
                </c:pt>
                <c:pt idx="2">
                  <c:v>-7</c:v>
                </c:pt>
                <c:pt idx="3">
                  <c:v>-14</c:v>
                </c:pt>
                <c:pt idx="4">
                  <c:v>-29</c:v>
                </c:pt>
                <c:pt idx="5">
                  <c:v>-48</c:v>
                </c:pt>
                <c:pt idx="6">
                  <c:v>-7</c:v>
                </c:pt>
                <c:pt idx="7">
                  <c:v>-13</c:v>
                </c:pt>
                <c:pt idx="8">
                  <c:v>-86</c:v>
                </c:pt>
              </c:numCache>
            </c:numRef>
          </c:val>
          <c:smooth val="0"/>
          <c:extLst xmlns:c16r2="http://schemas.microsoft.com/office/drawing/2015/06/chart">
            <c:ext xmlns:c16="http://schemas.microsoft.com/office/drawing/2014/chart" uri="{C3380CC4-5D6E-409C-BE32-E72D297353CC}">
              <c16:uniqueId val="{00000002-FE20-4F12-9B74-F357B8EBE2E2}"/>
            </c:ext>
          </c:extLst>
        </c:ser>
        <c:dLbls>
          <c:showLegendKey val="0"/>
          <c:showVal val="0"/>
          <c:showCatName val="0"/>
          <c:showSerName val="0"/>
          <c:showPercent val="0"/>
          <c:showBubbleSize val="0"/>
        </c:dLbls>
        <c:marker val="1"/>
        <c:smooth val="0"/>
        <c:axId val="231081088"/>
        <c:axId val="231071104"/>
      </c:lineChart>
      <c:catAx>
        <c:axId val="2310680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sr-Latn-RS"/>
          </a:p>
        </c:txPr>
        <c:crossAx val="231069568"/>
        <c:crosses val="autoZero"/>
        <c:auto val="1"/>
        <c:lblAlgn val="ctr"/>
        <c:lblOffset val="100"/>
        <c:noMultiLvlLbl val="0"/>
      </c:catAx>
      <c:valAx>
        <c:axId val="2310695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068032"/>
        <c:crosses val="autoZero"/>
        <c:crossBetween val="between"/>
      </c:valAx>
      <c:valAx>
        <c:axId val="2310711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081088"/>
        <c:crosses val="max"/>
        <c:crossBetween val="between"/>
      </c:valAx>
      <c:catAx>
        <c:axId val="231081088"/>
        <c:scaling>
          <c:orientation val="minMax"/>
        </c:scaling>
        <c:delete val="1"/>
        <c:axPos val="b"/>
        <c:numFmt formatCode="General" sourceLinked="1"/>
        <c:majorTickMark val="out"/>
        <c:minorTickMark val="none"/>
        <c:tickLblPos val="nextTo"/>
        <c:crossAx val="231071104"/>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solidFill>
      <a:schemeClr val="lt1"/>
    </a:solidFill>
    <a:ln w="9525" cap="flat" cmpd="sng" algn="ctr">
      <a:no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Структура образовања</a:t>
            </a:r>
            <a:endParaRPr lang="en-GB"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Без школске спреме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Sheet1!$B$2:$B$4</c:f>
              <c:numCache>
                <c:formatCode>General</c:formatCode>
                <c:ptCount val="3"/>
                <c:pt idx="0">
                  <c:v>2.68</c:v>
                </c:pt>
                <c:pt idx="1">
                  <c:v>4.58</c:v>
                </c:pt>
                <c:pt idx="2">
                  <c:v>8.06</c:v>
                </c:pt>
              </c:numCache>
            </c:numRef>
          </c:val>
          <c:extLst xmlns:c16r2="http://schemas.microsoft.com/office/drawing/2015/06/chart">
            <c:ext xmlns:c16="http://schemas.microsoft.com/office/drawing/2014/chart" uri="{C3380CC4-5D6E-409C-BE32-E72D297353CC}">
              <c16:uniqueId val="{00000000-745C-424E-AAD9-B93ED42E6462}"/>
            </c:ext>
          </c:extLst>
        </c:ser>
        <c:ser>
          <c:idx val="1"/>
          <c:order val="1"/>
          <c:tx>
            <c:strRef>
              <c:f>Sheet1!$C$1</c:f>
              <c:strCache>
                <c:ptCount val="1"/>
                <c:pt idx="0">
                  <c:v>Непотпуно основно образовање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Sheet1!$C$2:$C$4</c:f>
              <c:numCache>
                <c:formatCode>General</c:formatCode>
                <c:ptCount val="3"/>
                <c:pt idx="0">
                  <c:v>11</c:v>
                </c:pt>
                <c:pt idx="1">
                  <c:v>11.76</c:v>
                </c:pt>
                <c:pt idx="2">
                  <c:v>15.22</c:v>
                </c:pt>
              </c:numCache>
            </c:numRef>
          </c:val>
          <c:extLst xmlns:c16r2="http://schemas.microsoft.com/office/drawing/2015/06/chart">
            <c:ext xmlns:c16="http://schemas.microsoft.com/office/drawing/2014/chart" uri="{C3380CC4-5D6E-409C-BE32-E72D297353CC}">
              <c16:uniqueId val="{00000001-745C-424E-AAD9-B93ED42E6462}"/>
            </c:ext>
          </c:extLst>
        </c:ser>
        <c:ser>
          <c:idx val="2"/>
          <c:order val="2"/>
          <c:tx>
            <c:strRef>
              <c:f>Sheet1!$D$1</c:f>
              <c:strCache>
                <c:ptCount val="1"/>
                <c:pt idx="0">
                  <c:v>Основно образовање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Sheet1!$D$2:$D$4</c:f>
              <c:numCache>
                <c:formatCode>General</c:formatCode>
                <c:ptCount val="3"/>
                <c:pt idx="0">
                  <c:v>20.76</c:v>
                </c:pt>
                <c:pt idx="1">
                  <c:v>22.74</c:v>
                </c:pt>
                <c:pt idx="2">
                  <c:v>21.12</c:v>
                </c:pt>
              </c:numCache>
            </c:numRef>
          </c:val>
          <c:extLst xmlns:c16r2="http://schemas.microsoft.com/office/drawing/2015/06/chart">
            <c:ext xmlns:c16="http://schemas.microsoft.com/office/drawing/2014/chart" uri="{C3380CC4-5D6E-409C-BE32-E72D297353CC}">
              <c16:uniqueId val="{00000002-745C-424E-AAD9-B93ED42E6462}"/>
            </c:ext>
          </c:extLst>
        </c:ser>
        <c:ser>
          <c:idx val="3"/>
          <c:order val="3"/>
          <c:tx>
            <c:strRef>
              <c:f>Sheet1!$E$1</c:f>
              <c:strCache>
                <c:ptCount val="1"/>
                <c:pt idx="0">
                  <c:v>Средње образовање</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Sheet1!$E$2:$E$4</c:f>
              <c:numCache>
                <c:formatCode>General</c:formatCode>
                <c:ptCount val="3"/>
                <c:pt idx="0">
                  <c:v>48.93</c:v>
                </c:pt>
                <c:pt idx="1">
                  <c:v>47.12</c:v>
                </c:pt>
                <c:pt idx="2">
                  <c:v>44.99</c:v>
                </c:pt>
              </c:numCache>
            </c:numRef>
          </c:val>
          <c:extLst xmlns:c16r2="http://schemas.microsoft.com/office/drawing/2015/06/chart">
            <c:ext xmlns:c16="http://schemas.microsoft.com/office/drawing/2014/chart" uri="{C3380CC4-5D6E-409C-BE32-E72D297353CC}">
              <c16:uniqueId val="{00000003-745C-424E-AAD9-B93ED42E6462}"/>
            </c:ext>
          </c:extLst>
        </c:ser>
        <c:ser>
          <c:idx val="4"/>
          <c:order val="4"/>
          <c:tx>
            <c:strRef>
              <c:f>Sheet1!$F$1</c:f>
              <c:strCache>
                <c:ptCount val="1"/>
                <c:pt idx="0">
                  <c:v>Више образовање</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Sheet1!$F$2:$F$4</c:f>
              <c:numCache>
                <c:formatCode>General</c:formatCode>
                <c:ptCount val="3"/>
                <c:pt idx="0">
                  <c:v>5.65</c:v>
                </c:pt>
                <c:pt idx="1">
                  <c:v>6.1</c:v>
                </c:pt>
                <c:pt idx="2">
                  <c:v>5.01</c:v>
                </c:pt>
              </c:numCache>
            </c:numRef>
          </c:val>
          <c:extLst xmlns:c16r2="http://schemas.microsoft.com/office/drawing/2015/06/chart">
            <c:ext xmlns:c16="http://schemas.microsoft.com/office/drawing/2014/chart" uri="{C3380CC4-5D6E-409C-BE32-E72D297353CC}">
              <c16:uniqueId val="{00000004-745C-424E-AAD9-B93ED42E6462}"/>
            </c:ext>
          </c:extLst>
        </c:ser>
        <c:ser>
          <c:idx val="5"/>
          <c:order val="5"/>
          <c:tx>
            <c:strRef>
              <c:f>Sheet1!$G$1</c:f>
              <c:strCache>
                <c:ptCount val="1"/>
                <c:pt idx="0">
                  <c:v>Високо образовање</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Sheet1!$G$2:$G$4</c:f>
              <c:numCache>
                <c:formatCode>General</c:formatCode>
                <c:ptCount val="3"/>
                <c:pt idx="0">
                  <c:v>10.59</c:v>
                </c:pt>
                <c:pt idx="1">
                  <c:v>7.16</c:v>
                </c:pt>
                <c:pt idx="2">
                  <c:v>5.37</c:v>
                </c:pt>
              </c:numCache>
            </c:numRef>
          </c:val>
          <c:extLst xmlns:c16r2="http://schemas.microsoft.com/office/drawing/2015/06/chart">
            <c:ext xmlns:c16="http://schemas.microsoft.com/office/drawing/2014/chart" uri="{C3380CC4-5D6E-409C-BE32-E72D297353CC}">
              <c16:uniqueId val="{00000005-745C-424E-AAD9-B93ED42E6462}"/>
            </c:ext>
          </c:extLst>
        </c:ser>
        <c:ser>
          <c:idx val="6"/>
          <c:order val="6"/>
          <c:tx>
            <c:strRef>
              <c:f>Sheet1!$H$1</c:f>
              <c:strCache>
                <c:ptCount val="1"/>
                <c:pt idx="0">
                  <c:v>Непознато</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Република Србија (просек)</c:v>
                </c:pt>
                <c:pt idx="1">
                  <c:v>Прокупље</c:v>
                </c:pt>
                <c:pt idx="2">
                  <c:v>Блаце</c:v>
                </c:pt>
              </c:strCache>
            </c:strRef>
          </c:cat>
          <c:val>
            <c:numRef>
              <c:f>Sheet1!$H$2:$H$4</c:f>
              <c:numCache>
                <c:formatCode>General</c:formatCode>
                <c:ptCount val="3"/>
                <c:pt idx="0">
                  <c:v>0.4</c:v>
                </c:pt>
                <c:pt idx="1">
                  <c:v>0.54</c:v>
                </c:pt>
                <c:pt idx="2">
                  <c:v>0.22</c:v>
                </c:pt>
              </c:numCache>
            </c:numRef>
          </c:val>
          <c:extLst xmlns:c16r2="http://schemas.microsoft.com/office/drawing/2015/06/chart">
            <c:ext xmlns:c16="http://schemas.microsoft.com/office/drawing/2014/chart" uri="{C3380CC4-5D6E-409C-BE32-E72D297353CC}">
              <c16:uniqueId val="{00000006-745C-424E-AAD9-B93ED42E6462}"/>
            </c:ext>
          </c:extLst>
        </c:ser>
        <c:dLbls>
          <c:showLegendKey val="0"/>
          <c:showVal val="1"/>
          <c:showCatName val="0"/>
          <c:showSerName val="0"/>
          <c:showPercent val="0"/>
          <c:showBubbleSize val="0"/>
        </c:dLbls>
        <c:gapWidth val="100"/>
        <c:overlap val="-24"/>
        <c:axId val="231280640"/>
        <c:axId val="231282176"/>
      </c:barChart>
      <c:catAx>
        <c:axId val="23128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282176"/>
        <c:crosses val="autoZero"/>
        <c:auto val="1"/>
        <c:lblAlgn val="ctr"/>
        <c:lblOffset val="100"/>
        <c:noMultiLvlLbl val="0"/>
      </c:catAx>
      <c:valAx>
        <c:axId val="23128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28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Образовна структура жена</a:t>
            </a:r>
            <a:endParaRPr lang="en-GB"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Републички просек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Sheet1!$B$2:$B$7</c:f>
              <c:numCache>
                <c:formatCode>General</c:formatCode>
                <c:ptCount val="6"/>
                <c:pt idx="0">
                  <c:v>4.21</c:v>
                </c:pt>
                <c:pt idx="1">
                  <c:v>13.68</c:v>
                </c:pt>
                <c:pt idx="2">
                  <c:v>21.5</c:v>
                </c:pt>
                <c:pt idx="3">
                  <c:v>43.95</c:v>
                </c:pt>
                <c:pt idx="4">
                  <c:v>5.49</c:v>
                </c:pt>
                <c:pt idx="5">
                  <c:v>10.77</c:v>
                </c:pt>
              </c:numCache>
            </c:numRef>
          </c:val>
          <c:extLst xmlns:c16r2="http://schemas.microsoft.com/office/drawing/2015/06/chart">
            <c:ext xmlns:c16="http://schemas.microsoft.com/office/drawing/2014/chart" uri="{C3380CC4-5D6E-409C-BE32-E72D297353CC}">
              <c16:uniqueId val="{00000000-1E31-40A2-B915-78EA1D32F77D}"/>
            </c:ext>
          </c:extLst>
        </c:ser>
        <c:ser>
          <c:idx val="1"/>
          <c:order val="1"/>
          <c:tx>
            <c:strRef>
              <c:f>Sheet1!$C$1</c:f>
              <c:strCache>
                <c:ptCount val="1"/>
                <c:pt idx="0">
                  <c:v>Прокупље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Sheet1!$C$2:$C$7</c:f>
              <c:numCache>
                <c:formatCode>General</c:formatCode>
                <c:ptCount val="6"/>
                <c:pt idx="0">
                  <c:v>13.75</c:v>
                </c:pt>
                <c:pt idx="1">
                  <c:v>16.34</c:v>
                </c:pt>
                <c:pt idx="2">
                  <c:v>20.14</c:v>
                </c:pt>
                <c:pt idx="3">
                  <c:v>39.85</c:v>
                </c:pt>
                <c:pt idx="4">
                  <c:v>4.6900000000000004</c:v>
                </c:pt>
                <c:pt idx="5">
                  <c:v>5.03</c:v>
                </c:pt>
              </c:numCache>
            </c:numRef>
          </c:val>
          <c:extLst xmlns:c16r2="http://schemas.microsoft.com/office/drawing/2015/06/chart">
            <c:ext xmlns:c16="http://schemas.microsoft.com/office/drawing/2014/chart" uri="{C3380CC4-5D6E-409C-BE32-E72D297353CC}">
              <c16:uniqueId val="{00000001-1E31-40A2-B915-78EA1D32F77D}"/>
            </c:ext>
          </c:extLst>
        </c:ser>
        <c:ser>
          <c:idx val="2"/>
          <c:order val="2"/>
          <c:tx>
            <c:strRef>
              <c:f>Sheet1!$D$1</c:f>
              <c:strCache>
                <c:ptCount val="1"/>
                <c:pt idx="0">
                  <c:v>Блаце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Sheet1!$D$2:$D$7</c:f>
              <c:numCache>
                <c:formatCode>General</c:formatCode>
                <c:ptCount val="6"/>
                <c:pt idx="0">
                  <c:v>7.57</c:v>
                </c:pt>
                <c:pt idx="1">
                  <c:v>14.89</c:v>
                </c:pt>
                <c:pt idx="2">
                  <c:v>22.49</c:v>
                </c:pt>
                <c:pt idx="3">
                  <c:v>42.31</c:v>
                </c:pt>
                <c:pt idx="4">
                  <c:v>5.57</c:v>
                </c:pt>
                <c:pt idx="5">
                  <c:v>6.6</c:v>
                </c:pt>
              </c:numCache>
            </c:numRef>
          </c:val>
          <c:extLst xmlns:c16r2="http://schemas.microsoft.com/office/drawing/2015/06/chart">
            <c:ext xmlns:c16="http://schemas.microsoft.com/office/drawing/2014/chart" uri="{C3380CC4-5D6E-409C-BE32-E72D297353CC}">
              <c16:uniqueId val="{00000002-1E31-40A2-B915-78EA1D32F77D}"/>
            </c:ext>
          </c:extLst>
        </c:ser>
        <c:ser>
          <c:idx val="3"/>
          <c:order val="3"/>
          <c:tx>
            <c:strRef>
              <c:f>Sheet1!$E$1</c:f>
              <c:strCache>
                <c:ptCount val="1"/>
                <c:pt idx="0">
                  <c:v>Column1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Sheet1!$E$2:$E$7</c:f>
              <c:numCache>
                <c:formatCode>General</c:formatCode>
                <c:ptCount val="6"/>
              </c:numCache>
            </c:numRef>
          </c:val>
          <c:extLst xmlns:c16r2="http://schemas.microsoft.com/office/drawing/2015/06/chart">
            <c:ext xmlns:c16="http://schemas.microsoft.com/office/drawing/2014/chart" uri="{C3380CC4-5D6E-409C-BE32-E72D297353CC}">
              <c16:uniqueId val="{00000003-1E31-40A2-B915-78EA1D32F77D}"/>
            </c:ext>
          </c:extLst>
        </c:ser>
        <c:dLbls>
          <c:showLegendKey val="0"/>
          <c:showVal val="0"/>
          <c:showCatName val="0"/>
          <c:showSerName val="0"/>
          <c:showPercent val="0"/>
          <c:showBubbleSize val="0"/>
        </c:dLbls>
        <c:gapWidth val="150"/>
        <c:shape val="box"/>
        <c:axId val="231332096"/>
        <c:axId val="231337984"/>
        <c:axId val="0"/>
      </c:bar3DChart>
      <c:catAx>
        <c:axId val="231332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337984"/>
        <c:crosses val="autoZero"/>
        <c:auto val="1"/>
        <c:lblAlgn val="ctr"/>
        <c:lblOffset val="100"/>
        <c:noMultiLvlLbl val="0"/>
      </c:catAx>
      <c:valAx>
        <c:axId val="23133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1332096"/>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Образовна структура мушкараца</a:t>
            </a:r>
            <a:endParaRPr lang="en-GB"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Републички просек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Sheet1!$B$2:$B$7</c:f>
              <c:numCache>
                <c:formatCode>General</c:formatCode>
                <c:ptCount val="6"/>
                <c:pt idx="0">
                  <c:v>1.03</c:v>
                </c:pt>
                <c:pt idx="1">
                  <c:v>8.1199999999999992</c:v>
                </c:pt>
                <c:pt idx="2">
                  <c:v>19.97</c:v>
                </c:pt>
                <c:pt idx="3">
                  <c:v>54.29</c:v>
                </c:pt>
                <c:pt idx="4">
                  <c:v>5.83</c:v>
                </c:pt>
                <c:pt idx="5">
                  <c:v>10.39</c:v>
                </c:pt>
              </c:numCache>
            </c:numRef>
          </c:val>
          <c:extLst xmlns:c16r2="http://schemas.microsoft.com/office/drawing/2015/06/chart">
            <c:ext xmlns:c16="http://schemas.microsoft.com/office/drawing/2014/chart" uri="{C3380CC4-5D6E-409C-BE32-E72D297353CC}">
              <c16:uniqueId val="{00000000-EE13-49F6-867A-3A60A9AFC668}"/>
            </c:ext>
          </c:extLst>
        </c:ser>
        <c:ser>
          <c:idx val="1"/>
          <c:order val="1"/>
          <c:tx>
            <c:strRef>
              <c:f>Sheet1!$C$1</c:f>
              <c:strCache>
                <c:ptCount val="1"/>
                <c:pt idx="0">
                  <c:v>Прокупље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Sheet1!$C$2:$C$7</c:f>
              <c:numCache>
                <c:formatCode>General</c:formatCode>
                <c:ptCount val="6"/>
                <c:pt idx="0">
                  <c:v>2.3199999999999998</c:v>
                </c:pt>
                <c:pt idx="1">
                  <c:v>14.09</c:v>
                </c:pt>
                <c:pt idx="2">
                  <c:v>22.12</c:v>
                </c:pt>
                <c:pt idx="3">
                  <c:v>50.19</c:v>
                </c:pt>
                <c:pt idx="4">
                  <c:v>5.34</c:v>
                </c:pt>
                <c:pt idx="5">
                  <c:v>5.71</c:v>
                </c:pt>
              </c:numCache>
            </c:numRef>
          </c:val>
          <c:extLst xmlns:c16r2="http://schemas.microsoft.com/office/drawing/2015/06/chart">
            <c:ext xmlns:c16="http://schemas.microsoft.com/office/drawing/2014/chart" uri="{C3380CC4-5D6E-409C-BE32-E72D297353CC}">
              <c16:uniqueId val="{00000001-EE13-49F6-867A-3A60A9AFC668}"/>
            </c:ext>
          </c:extLst>
        </c:ser>
        <c:ser>
          <c:idx val="2"/>
          <c:order val="2"/>
          <c:tx>
            <c:strRef>
              <c:f>Sheet1!$D$1</c:f>
              <c:strCache>
                <c:ptCount val="1"/>
                <c:pt idx="0">
                  <c:v>Блаце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Sheet1!$D$2:$D$7</c:f>
              <c:numCache>
                <c:formatCode>General</c:formatCode>
                <c:ptCount val="6"/>
                <c:pt idx="0">
                  <c:v>1.5</c:v>
                </c:pt>
                <c:pt idx="1">
                  <c:v>8.52</c:v>
                </c:pt>
                <c:pt idx="2">
                  <c:v>23.01</c:v>
                </c:pt>
                <c:pt idx="3">
                  <c:v>52.08</c:v>
                </c:pt>
                <c:pt idx="4">
                  <c:v>6.65</c:v>
                </c:pt>
                <c:pt idx="5">
                  <c:v>7.73</c:v>
                </c:pt>
              </c:numCache>
            </c:numRef>
          </c:val>
          <c:extLst xmlns:c16r2="http://schemas.microsoft.com/office/drawing/2015/06/chart">
            <c:ext xmlns:c16="http://schemas.microsoft.com/office/drawing/2014/chart" uri="{C3380CC4-5D6E-409C-BE32-E72D297353CC}">
              <c16:uniqueId val="{00000002-EE13-49F6-867A-3A60A9AFC668}"/>
            </c:ext>
          </c:extLst>
        </c:ser>
        <c:ser>
          <c:idx val="3"/>
          <c:order val="3"/>
          <c:tx>
            <c:strRef>
              <c:f>Sheet1!$E$1</c:f>
              <c:strCache>
                <c:ptCount val="1"/>
                <c:pt idx="0">
                  <c:v>Column1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Sheet1!$E$2:$E$7</c:f>
              <c:numCache>
                <c:formatCode>General</c:formatCode>
                <c:ptCount val="6"/>
              </c:numCache>
            </c:numRef>
          </c:val>
          <c:extLst xmlns:c16r2="http://schemas.microsoft.com/office/drawing/2015/06/chart">
            <c:ext xmlns:c16="http://schemas.microsoft.com/office/drawing/2014/chart" uri="{C3380CC4-5D6E-409C-BE32-E72D297353CC}">
              <c16:uniqueId val="{00000003-EE13-49F6-867A-3A60A9AFC668}"/>
            </c:ext>
          </c:extLst>
        </c:ser>
        <c:dLbls>
          <c:showLegendKey val="0"/>
          <c:showVal val="0"/>
          <c:showCatName val="0"/>
          <c:showSerName val="0"/>
          <c:showPercent val="0"/>
          <c:showBubbleSize val="0"/>
        </c:dLbls>
        <c:gapWidth val="150"/>
        <c:shape val="box"/>
        <c:axId val="232035456"/>
        <c:axId val="232036992"/>
        <c:axId val="0"/>
      </c:bar3DChart>
      <c:catAx>
        <c:axId val="23203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2036992"/>
        <c:crosses val="autoZero"/>
        <c:auto val="1"/>
        <c:lblAlgn val="ctr"/>
        <c:lblOffset val="100"/>
        <c:noMultiLvlLbl val="0"/>
      </c:catAx>
      <c:valAx>
        <c:axId val="23203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2035456"/>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Упоредни приказ образовне структуре жена и мушкараца (општина Блаце)</a:t>
            </a:r>
            <a:endParaRPr lang="en-GB"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Мушкарци</c:v>
                </c:pt>
              </c:strCache>
            </c:strRef>
          </c:tx>
          <c:spPr>
            <a:ln w="22225" cap="rnd">
              <a:solidFill>
                <a:schemeClr val="accent1"/>
              </a:solidFill>
              <a:round/>
            </a:ln>
            <a:effectLst/>
          </c:spPr>
          <c:marker>
            <c:symbol val="none"/>
          </c:marker>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Sheet1!$B$2:$B$7</c:f>
              <c:numCache>
                <c:formatCode>General</c:formatCode>
                <c:ptCount val="6"/>
                <c:pt idx="0">
                  <c:v>1.5</c:v>
                </c:pt>
                <c:pt idx="1">
                  <c:v>8.52</c:v>
                </c:pt>
                <c:pt idx="2">
                  <c:v>23.01</c:v>
                </c:pt>
                <c:pt idx="3">
                  <c:v>52.08</c:v>
                </c:pt>
                <c:pt idx="4">
                  <c:v>6.65</c:v>
                </c:pt>
                <c:pt idx="5">
                  <c:v>7.73</c:v>
                </c:pt>
              </c:numCache>
            </c:numRef>
          </c:val>
          <c:smooth val="0"/>
          <c:extLst xmlns:c16r2="http://schemas.microsoft.com/office/drawing/2015/06/chart">
            <c:ext xmlns:c16="http://schemas.microsoft.com/office/drawing/2014/chart" uri="{C3380CC4-5D6E-409C-BE32-E72D297353CC}">
              <c16:uniqueId val="{00000000-9049-4536-9205-35DF70AD3098}"/>
            </c:ext>
          </c:extLst>
        </c:ser>
        <c:ser>
          <c:idx val="1"/>
          <c:order val="1"/>
          <c:tx>
            <c:strRef>
              <c:f>Sheet1!$C$1</c:f>
              <c:strCache>
                <c:ptCount val="1"/>
                <c:pt idx="0">
                  <c:v>Жене</c:v>
                </c:pt>
              </c:strCache>
            </c:strRef>
          </c:tx>
          <c:spPr>
            <a:ln w="22225" cap="rnd">
              <a:solidFill>
                <a:schemeClr val="accent2"/>
              </a:solidFill>
              <a:round/>
            </a:ln>
            <a:effectLst/>
          </c:spPr>
          <c:marker>
            <c:symbol val="none"/>
          </c:marker>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Sheet1!$C$2:$C$7</c:f>
              <c:numCache>
                <c:formatCode>General</c:formatCode>
                <c:ptCount val="6"/>
                <c:pt idx="0">
                  <c:v>7.51</c:v>
                </c:pt>
                <c:pt idx="1">
                  <c:v>14.89</c:v>
                </c:pt>
                <c:pt idx="2">
                  <c:v>22.49</c:v>
                </c:pt>
                <c:pt idx="3">
                  <c:v>42.31</c:v>
                </c:pt>
                <c:pt idx="4">
                  <c:v>5.57</c:v>
                </c:pt>
                <c:pt idx="5">
                  <c:v>6.6</c:v>
                </c:pt>
              </c:numCache>
            </c:numRef>
          </c:val>
          <c:smooth val="0"/>
          <c:extLst xmlns:c16r2="http://schemas.microsoft.com/office/drawing/2015/06/chart">
            <c:ext xmlns:c16="http://schemas.microsoft.com/office/drawing/2014/chart" uri="{C3380CC4-5D6E-409C-BE32-E72D297353CC}">
              <c16:uniqueId val="{00000001-9049-4536-9205-35DF70AD3098}"/>
            </c:ext>
          </c:extLst>
        </c:ser>
        <c:dLbls>
          <c:showLegendKey val="0"/>
          <c:showVal val="0"/>
          <c:showCatName val="0"/>
          <c:showSerName val="0"/>
          <c:showPercent val="0"/>
          <c:showBubbleSize val="0"/>
        </c:dLbls>
        <c:marker val="1"/>
        <c:smooth val="0"/>
        <c:axId val="231912576"/>
        <c:axId val="231914112"/>
      </c:lineChart>
      <c:catAx>
        <c:axId val="231912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sr-Latn-RS"/>
          </a:p>
        </c:txPr>
        <c:crossAx val="231914112"/>
        <c:crosses val="autoZero"/>
        <c:auto val="1"/>
        <c:lblAlgn val="ctr"/>
        <c:lblOffset val="100"/>
        <c:noMultiLvlLbl val="0"/>
      </c:catAx>
      <c:valAx>
        <c:axId val="23191411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912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sr-Cyrl-RS" sz="1400">
                <a:solidFill>
                  <a:sysClr val="windowText" lastClr="000000"/>
                </a:solidFill>
                <a:latin typeface="Times New Roman" panose="02020603050405020304" pitchFamily="18" charset="0"/>
                <a:cs typeface="Times New Roman" panose="02020603050405020304" pitchFamily="18" charset="0"/>
              </a:rPr>
              <a:t>Упоредни приказ образовне структуре жена у мушкараца (Прокупље)</a:t>
            </a:r>
            <a:endParaRPr lang="en-GB" sz="14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909722222222221"/>
          <c:y val="2.3809523809523808E-2"/>
        </c:manualLayout>
      </c:layout>
      <c:overlay val="0"/>
      <c:spPr>
        <a:noFill/>
        <a:ln>
          <a:noFill/>
        </a:ln>
        <a:effectLst/>
      </c:spPr>
    </c:title>
    <c:autoTitleDeleted val="0"/>
    <c:plotArea>
      <c:layout/>
      <c:lineChart>
        <c:grouping val="standard"/>
        <c:varyColors val="0"/>
        <c:ser>
          <c:idx val="0"/>
          <c:order val="0"/>
          <c:tx>
            <c:strRef>
              <c:f>Sheet1!$B$1</c:f>
              <c:strCache>
                <c:ptCount val="1"/>
                <c:pt idx="0">
                  <c:v>Мушкарци</c:v>
                </c:pt>
              </c:strCache>
            </c:strRef>
          </c:tx>
          <c:spPr>
            <a:ln w="22225" cap="rnd">
              <a:solidFill>
                <a:schemeClr val="accent1"/>
              </a:solidFill>
              <a:round/>
            </a:ln>
            <a:effectLst/>
          </c:spPr>
          <c:marker>
            <c:symbol val="none"/>
          </c:marker>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Sheet1!$B$2:$B$7</c:f>
              <c:numCache>
                <c:formatCode>General</c:formatCode>
                <c:ptCount val="6"/>
                <c:pt idx="0">
                  <c:v>2.3199999999999998</c:v>
                </c:pt>
                <c:pt idx="1">
                  <c:v>14.09</c:v>
                </c:pt>
                <c:pt idx="2">
                  <c:v>22.12</c:v>
                </c:pt>
                <c:pt idx="3">
                  <c:v>50.19</c:v>
                </c:pt>
                <c:pt idx="4">
                  <c:v>5.34</c:v>
                </c:pt>
                <c:pt idx="5">
                  <c:v>5.71</c:v>
                </c:pt>
              </c:numCache>
            </c:numRef>
          </c:val>
          <c:smooth val="0"/>
          <c:extLst xmlns:c16r2="http://schemas.microsoft.com/office/drawing/2015/06/chart">
            <c:ext xmlns:c16="http://schemas.microsoft.com/office/drawing/2014/chart" uri="{C3380CC4-5D6E-409C-BE32-E72D297353CC}">
              <c16:uniqueId val="{00000000-1820-499F-9CAD-B52354EADDE0}"/>
            </c:ext>
          </c:extLst>
        </c:ser>
        <c:ser>
          <c:idx val="1"/>
          <c:order val="1"/>
          <c:tx>
            <c:strRef>
              <c:f>Sheet1!$C$1</c:f>
              <c:strCache>
                <c:ptCount val="1"/>
                <c:pt idx="0">
                  <c:v>Жене</c:v>
                </c:pt>
              </c:strCache>
            </c:strRef>
          </c:tx>
          <c:spPr>
            <a:ln w="22225" cap="rnd">
              <a:solidFill>
                <a:schemeClr val="accent2"/>
              </a:solidFill>
              <a:round/>
            </a:ln>
            <a:effectLst/>
          </c:spPr>
          <c:marker>
            <c:symbol val="none"/>
          </c:marker>
          <c:cat>
            <c:strRef>
              <c:f>Sheet1!$A$2:$A$7</c:f>
              <c:strCache>
                <c:ptCount val="6"/>
                <c:pt idx="0">
                  <c:v>Без школске спреме</c:v>
                </c:pt>
                <c:pt idx="1">
                  <c:v>Непотпуно основно образовање</c:v>
                </c:pt>
                <c:pt idx="2">
                  <c:v>Основно образовање</c:v>
                </c:pt>
                <c:pt idx="3">
                  <c:v>Средње образовање</c:v>
                </c:pt>
                <c:pt idx="4">
                  <c:v>Више образовање</c:v>
                </c:pt>
                <c:pt idx="5">
                  <c:v>Високо образовање</c:v>
                </c:pt>
              </c:strCache>
            </c:strRef>
          </c:cat>
          <c:val>
            <c:numRef>
              <c:f>Sheet1!$C$2:$C$7</c:f>
              <c:numCache>
                <c:formatCode>General</c:formatCode>
                <c:ptCount val="6"/>
                <c:pt idx="0">
                  <c:v>13.75</c:v>
                </c:pt>
                <c:pt idx="1">
                  <c:v>16.34</c:v>
                </c:pt>
                <c:pt idx="2">
                  <c:v>20.14</c:v>
                </c:pt>
                <c:pt idx="3">
                  <c:v>39.85</c:v>
                </c:pt>
                <c:pt idx="4">
                  <c:v>4.6900000000000004</c:v>
                </c:pt>
                <c:pt idx="5">
                  <c:v>5.03</c:v>
                </c:pt>
              </c:numCache>
            </c:numRef>
          </c:val>
          <c:smooth val="0"/>
          <c:extLst xmlns:c16r2="http://schemas.microsoft.com/office/drawing/2015/06/chart">
            <c:ext xmlns:c16="http://schemas.microsoft.com/office/drawing/2014/chart" uri="{C3380CC4-5D6E-409C-BE32-E72D297353CC}">
              <c16:uniqueId val="{00000001-1820-499F-9CAD-B52354EADDE0}"/>
            </c:ext>
          </c:extLst>
        </c:ser>
        <c:dLbls>
          <c:showLegendKey val="0"/>
          <c:showVal val="0"/>
          <c:showCatName val="0"/>
          <c:showSerName val="0"/>
          <c:showPercent val="0"/>
          <c:showBubbleSize val="0"/>
        </c:dLbls>
        <c:marker val="1"/>
        <c:smooth val="0"/>
        <c:axId val="231674624"/>
        <c:axId val="231676160"/>
      </c:lineChart>
      <c:catAx>
        <c:axId val="23167462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sr-Latn-RS"/>
          </a:p>
        </c:txPr>
        <c:crossAx val="231676160"/>
        <c:crosses val="autoZero"/>
        <c:auto val="1"/>
        <c:lblAlgn val="ctr"/>
        <c:lblOffset val="100"/>
        <c:noMultiLvlLbl val="0"/>
      </c:catAx>
      <c:valAx>
        <c:axId val="23167616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crossAx val="2316746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5CD1-6FD0-49C2-9B63-A58A4465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14451</Words>
  <Characters>82373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miroslav</cp:lastModifiedBy>
  <cp:revision>2</cp:revision>
  <cp:lastPrinted>2020-11-01T19:48:00Z</cp:lastPrinted>
  <dcterms:created xsi:type="dcterms:W3CDTF">2020-11-03T07:56:00Z</dcterms:created>
  <dcterms:modified xsi:type="dcterms:W3CDTF">2020-11-03T07:56:00Z</dcterms:modified>
</cp:coreProperties>
</file>